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b/>
          <w:color w:val="973528"/>
          <w:sz w:val="17"/>
        </w:rPr>
        <w:t>TIME-SENSITIVE ADVISORY  •  CHECK FOR UPDATES BEFORE EACH USE</w:t>
      </w:r>
    </w:p>
    <w:p>
      <w:r>
        <w:t>This is a dated defensive reference, not legal advice or a guarantee of vulnerability status. PHP2Shell advisories, affected-product lists, vendor backports, detection guidance, and exploitation reports may change quickly. Before acting, check the primary PHP advisory and relevant vendor notices; record the date/time and sources reviewed. A workaround or WAF rule is not a complete fix. An absence of detections is not proof of no compromise. [S1-S3, S6-S7]</w:t>
      </w:r>
    </w:p>
    <w:p>
      <w:pPr>
        <w:pStyle w:val="Title"/>
      </w:pPr>
      <w:r>
        <w:t>PHP2Shell</w:t>
      </w:r>
    </w:p>
    <w:p>
      <w:r>
        <w:rPr>
          <w:b/>
          <w:color w:val="11666E"/>
          <w:sz w:val="28"/>
        </w:rPr>
        <w:t>MSP EMERGENCY RESPONSE PLAYBOOK</w:t>
      </w:r>
    </w:p>
    <w:p>
      <w:pPr>
        <w:pStyle w:val="SmallNote"/>
      </w:pPr>
      <w:r>
        <w:t>Cross-customer discovery  |  risk decisions  |  patching  |  compromise review  |  verified closure</w:t>
      </w:r>
    </w:p>
    <w:p>
      <w:pPr>
        <w:pStyle w:val="SmallNote"/>
      </w:pPr>
      <w:r>
        <w:t>Version 1.0  •  Published 21 October 2026  •  Free operational reference  •  Editable, unbranded edition</w:t>
      </w:r>
    </w:p>
    <w:p>
      <w:pPr>
        <w:pStyle w:val="Heading2"/>
      </w:pPr>
      <w:r>
        <w:t>Incident brief</w:t>
      </w:r>
    </w:p>
    <w:p>
      <w:r>
        <w:t>Two PHP runtime vulnerabilities, CVE-2026-109618 and CVE-2026-109619, were publicly addressed on 21 October 2026. Both are critical (CVSS v4.0 9.2) and can allow unauthenticated remote code execution under relevant deployment conditions. PHP says all web-serving PHP installations require attention, including Apache mod_php, PHP-FPM, php-cgi, FrankenPHP and LiteSpeed. A mod_php route has demonstrated code execution before application logic begins. [S1-S3]</w:t>
      </w:r>
    </w:p>
    <w:p>
      <w:r>
        <w:t>The MSP response has two independent objectives: (1) establish the disposition of every reasonably in-scope customer dependency, including vendor-owned services; and (2) confirm remediation and investigate credible indications of exploitation. Updating a server does not retroactively prove that it was uncompromised.</w:t>
      </w:r>
    </w:p>
    <w:tbl>
      <w:tblPr>
        <w:tblW w:type="auto" w:w="0"/>
        <w:jc w:val="center"/>
        <w:tblLayout w:type="fixed"/>
        <w:tblLook w:firstColumn="1" w:firstRow="1" w:lastColumn="0" w:lastRow="0" w:noHBand="0" w:noVBand="1" w:val="04A0"/>
      </w:tblPr>
      <w:tblGrid>
        <w:gridCol w:w="1800"/>
        <w:gridCol w:w="2232"/>
        <w:gridCol w:w="5832"/>
      </w:tblGrid>
      <w:tr>
        <w:trPr>
          <w:tblHeader w:val="true"/>
        </w:trPr>
        <w:tc>
          <w:tcPr>
            <w:tcW w:type="dxa" w:w="3283"/>
            <w:shd w:fill="E7EFF2"/>
            <w:tcMar>
              <w:top w:w="110" w:type="dxa"/>
              <w:start w:w="105" w:type="dxa"/>
              <w:bottom w:w="110" w:type="dxa"/>
              <w:end w:w="105" w:type="dxa"/>
            </w:tcMar>
          </w:tcPr>
          <w:p>
            <w:r>
              <w:rPr>
                <w:b/>
                <w:color w:val="173044"/>
                <w:sz w:val="16"/>
              </w:rPr>
              <w:t>Affected branch</w:t>
            </w:r>
          </w:p>
        </w:tc>
        <w:tc>
          <w:tcPr>
            <w:tcW w:type="dxa" w:w="3283"/>
            <w:shd w:fill="E7EFF2"/>
            <w:tcMar>
              <w:top w:w="110" w:type="dxa"/>
              <w:start w:w="105" w:type="dxa"/>
              <w:bottom w:w="110" w:type="dxa"/>
              <w:end w:w="105" w:type="dxa"/>
            </w:tcMar>
          </w:tcPr>
          <w:p>
            <w:r>
              <w:rPr>
                <w:b/>
                <w:color w:val="173044"/>
                <w:sz w:val="16"/>
              </w:rPr>
              <w:t>Upstream fixed release</w:t>
            </w:r>
          </w:p>
        </w:tc>
        <w:tc>
          <w:tcPr>
            <w:tcW w:type="dxa" w:w="3283"/>
            <w:shd w:fill="E7EFF2"/>
            <w:tcMar>
              <w:top w:w="110" w:type="dxa"/>
              <w:start w:w="105" w:type="dxa"/>
              <w:bottom w:w="110" w:type="dxa"/>
              <w:end w:w="105" w:type="dxa"/>
            </w:tcMar>
          </w:tcPr>
          <w:p>
            <w:r>
              <w:rPr>
                <w:b/>
                <w:color w:val="173044"/>
                <w:sz w:val="16"/>
              </w:rPr>
              <w:t>Important qualification</w:t>
            </w:r>
          </w:p>
        </w:tc>
      </w:tr>
      <w:tr>
        <w:tc>
          <w:tcPr>
            <w:tcW w:type="dxa" w:w="1800"/>
            <w:tcMar>
              <w:top w:w="85" w:type="dxa"/>
              <w:start w:w="105" w:type="dxa"/>
              <w:bottom w:w="80" w:type="dxa"/>
              <w:end w:w="100" w:type="dxa"/>
            </w:tcMar>
            <w:vAlign w:val="center"/>
          </w:tcPr>
          <w:p>
            <w:pPr>
              <w:spacing w:after="0"/>
            </w:pPr>
            <w:r>
              <w:rPr>
                <w:sz w:val="16"/>
              </w:rPr>
              <w:t>PHP 8.5</w:t>
            </w:r>
          </w:p>
        </w:tc>
        <w:tc>
          <w:tcPr>
            <w:tcW w:type="dxa" w:w="2232"/>
            <w:tcMar>
              <w:top w:w="85" w:type="dxa"/>
              <w:start w:w="105" w:type="dxa"/>
              <w:bottom w:w="80" w:type="dxa"/>
              <w:end w:w="100" w:type="dxa"/>
            </w:tcMar>
            <w:vAlign w:val="center"/>
          </w:tcPr>
          <w:p>
            <w:pPr>
              <w:spacing w:after="0"/>
            </w:pPr>
            <w:r>
              <w:rPr>
                <w:sz w:val="16"/>
              </w:rPr>
              <w:t>8.5.12</w:t>
            </w:r>
          </w:p>
        </w:tc>
        <w:tc>
          <w:tcPr>
            <w:tcW w:type="dxa" w:w="5832"/>
            <w:tcMar>
              <w:top w:w="85" w:type="dxa"/>
              <w:start w:w="105" w:type="dxa"/>
              <w:bottom w:w="80" w:type="dxa"/>
              <w:end w:w="100" w:type="dxa"/>
            </w:tcMar>
            <w:vAlign w:val="center"/>
          </w:tcPr>
          <w:p>
            <w:pPr>
              <w:spacing w:after="0"/>
            </w:pPr>
            <w:r>
              <w:rPr>
                <w:sz w:val="16"/>
              </w:rPr>
              <w:t>Also verify the running web-serving worker.</w:t>
            </w:r>
          </w:p>
        </w:tc>
      </w:tr>
      <w:tr>
        <w:tc>
          <w:tcPr>
            <w:tcW w:type="dxa" w:w="1800"/>
            <w:tcMar>
              <w:top w:w="85" w:type="dxa"/>
              <w:start w:w="105" w:type="dxa"/>
              <w:bottom w:w="80" w:type="dxa"/>
              <w:end w:w="100" w:type="dxa"/>
            </w:tcMar>
            <w:vAlign w:val="center"/>
          </w:tcPr>
          <w:p>
            <w:pPr>
              <w:spacing w:after="0"/>
            </w:pPr>
            <w:r>
              <w:rPr>
                <w:sz w:val="16"/>
              </w:rPr>
              <w:t>PHP 8.4</w:t>
            </w:r>
          </w:p>
        </w:tc>
        <w:tc>
          <w:tcPr>
            <w:tcW w:type="dxa" w:w="2232"/>
            <w:tcMar>
              <w:top w:w="85" w:type="dxa"/>
              <w:start w:w="105" w:type="dxa"/>
              <w:bottom w:w="80" w:type="dxa"/>
              <w:end w:w="100" w:type="dxa"/>
            </w:tcMar>
            <w:vAlign w:val="center"/>
          </w:tcPr>
          <w:p>
            <w:pPr>
              <w:spacing w:after="0"/>
            </w:pPr>
            <w:r>
              <w:rPr>
                <w:sz w:val="16"/>
              </w:rPr>
              <w:t>8.4.27</w:t>
            </w:r>
          </w:p>
        </w:tc>
        <w:tc>
          <w:tcPr>
            <w:tcW w:type="dxa" w:w="5832"/>
            <w:tcMar>
              <w:top w:w="85" w:type="dxa"/>
              <w:start w:w="105" w:type="dxa"/>
              <w:bottom w:w="80" w:type="dxa"/>
              <w:end w:w="100" w:type="dxa"/>
            </w:tcMar>
            <w:vAlign w:val="center"/>
          </w:tcPr>
          <w:p>
            <w:pPr>
              <w:spacing w:after="0"/>
            </w:pPr>
            <w:r>
              <w:rPr>
                <w:sz w:val="16"/>
              </w:rPr>
              <w:t>Windows NTS and TS packages differ.</w:t>
            </w:r>
          </w:p>
        </w:tc>
      </w:tr>
      <w:tr>
        <w:tc>
          <w:tcPr>
            <w:tcW w:type="dxa" w:w="1800"/>
            <w:tcMar>
              <w:top w:w="85" w:type="dxa"/>
              <w:start w:w="105" w:type="dxa"/>
              <w:bottom w:w="80" w:type="dxa"/>
              <w:end w:w="100" w:type="dxa"/>
            </w:tcMar>
            <w:vAlign w:val="center"/>
          </w:tcPr>
          <w:p>
            <w:pPr>
              <w:spacing w:after="0"/>
            </w:pPr>
            <w:r>
              <w:rPr>
                <w:sz w:val="16"/>
              </w:rPr>
              <w:t>PHP 8.3</w:t>
            </w:r>
          </w:p>
        </w:tc>
        <w:tc>
          <w:tcPr>
            <w:tcW w:type="dxa" w:w="2232"/>
            <w:tcMar>
              <w:top w:w="85" w:type="dxa"/>
              <w:start w:w="105" w:type="dxa"/>
              <w:bottom w:w="80" w:type="dxa"/>
              <w:end w:w="100" w:type="dxa"/>
            </w:tcMar>
            <w:vAlign w:val="center"/>
          </w:tcPr>
          <w:p>
            <w:pPr>
              <w:spacing w:after="0"/>
            </w:pPr>
            <w:r>
              <w:rPr>
                <w:sz w:val="16"/>
              </w:rPr>
              <w:t>8.3.36</w:t>
            </w:r>
          </w:p>
        </w:tc>
        <w:tc>
          <w:tcPr>
            <w:tcW w:type="dxa" w:w="5832"/>
            <w:tcMar>
              <w:top w:w="85" w:type="dxa"/>
              <w:start w:w="105" w:type="dxa"/>
              <w:bottom w:w="80" w:type="dxa"/>
              <w:end w:w="100" w:type="dxa"/>
            </w:tcMar>
            <w:vAlign w:val="center"/>
          </w:tcPr>
          <w:p>
            <w:pPr>
              <w:spacing w:after="0"/>
            </w:pPr>
            <w:r>
              <w:rPr>
                <w:sz w:val="16"/>
              </w:rPr>
              <w:t>Vendor packages may use backported fixes.</w:t>
            </w:r>
          </w:p>
        </w:tc>
      </w:tr>
      <w:tr>
        <w:tc>
          <w:tcPr>
            <w:tcW w:type="dxa" w:w="1800"/>
            <w:tcMar>
              <w:top w:w="85" w:type="dxa"/>
              <w:start w:w="105" w:type="dxa"/>
              <w:bottom w:w="80" w:type="dxa"/>
              <w:end w:w="100" w:type="dxa"/>
            </w:tcMar>
            <w:vAlign w:val="center"/>
          </w:tcPr>
          <w:p>
            <w:pPr>
              <w:spacing w:after="0"/>
            </w:pPr>
            <w:r>
              <w:rPr>
                <w:sz w:val="16"/>
              </w:rPr>
              <w:t>PHP 8.2</w:t>
            </w:r>
          </w:p>
        </w:tc>
        <w:tc>
          <w:tcPr>
            <w:tcW w:type="dxa" w:w="2232"/>
            <w:tcMar>
              <w:top w:w="85" w:type="dxa"/>
              <w:start w:w="105" w:type="dxa"/>
              <w:bottom w:w="80" w:type="dxa"/>
              <w:end w:w="100" w:type="dxa"/>
            </w:tcMar>
            <w:vAlign w:val="center"/>
          </w:tcPr>
          <w:p>
            <w:pPr>
              <w:spacing w:after="0"/>
            </w:pPr>
            <w:r>
              <w:rPr>
                <w:sz w:val="16"/>
              </w:rPr>
              <w:t>8.2.35</w:t>
            </w:r>
          </w:p>
        </w:tc>
        <w:tc>
          <w:tcPr>
            <w:tcW w:type="dxa" w:w="5832"/>
            <w:tcMar>
              <w:top w:w="85" w:type="dxa"/>
              <w:start w:w="105" w:type="dxa"/>
              <w:bottom w:w="80" w:type="dxa"/>
              <w:end w:w="100" w:type="dxa"/>
            </w:tcMar>
            <w:vAlign w:val="center"/>
          </w:tcPr>
          <w:p>
            <w:pPr>
              <w:spacing w:after="0"/>
            </w:pPr>
            <w:r>
              <w:rPr>
                <w:sz w:val="16"/>
              </w:rPr>
              <w:t>PHP project support ends 31 Dec 2026.</w:t>
            </w:r>
          </w:p>
        </w:tc>
      </w:tr>
      <w:tr>
        <w:tc>
          <w:tcPr>
            <w:tcW w:type="dxa" w:w="1800"/>
            <w:tcMar>
              <w:top w:w="85" w:type="dxa"/>
              <w:start w:w="105" w:type="dxa"/>
              <w:bottom w:w="80" w:type="dxa"/>
              <w:end w:w="100" w:type="dxa"/>
            </w:tcMar>
            <w:vAlign w:val="center"/>
          </w:tcPr>
          <w:p>
            <w:pPr>
              <w:spacing w:after="0"/>
            </w:pPr>
            <w:r>
              <w:rPr>
                <w:sz w:val="16"/>
              </w:rPr>
              <w:t>PHP 8.1 and older</w:t>
            </w:r>
          </w:p>
        </w:tc>
        <w:tc>
          <w:tcPr>
            <w:tcW w:type="dxa" w:w="2232"/>
            <w:tcMar>
              <w:top w:w="85" w:type="dxa"/>
              <w:start w:w="105" w:type="dxa"/>
              <w:bottom w:w="80" w:type="dxa"/>
              <w:end w:w="100" w:type="dxa"/>
            </w:tcMar>
            <w:vAlign w:val="center"/>
          </w:tcPr>
          <w:p>
            <w:pPr>
              <w:spacing w:after="0"/>
            </w:pPr>
            <w:r>
              <w:rPr>
                <w:sz w:val="16"/>
              </w:rPr>
              <w:t>No PHP project release</w:t>
            </w:r>
          </w:p>
        </w:tc>
        <w:tc>
          <w:tcPr>
            <w:tcW w:type="dxa" w:w="5832"/>
            <w:tcMar>
              <w:top w:w="85" w:type="dxa"/>
              <w:start w:w="105" w:type="dxa"/>
              <w:bottom w:w="80" w:type="dxa"/>
              <w:end w:w="100" w:type="dxa"/>
            </w:tcMar>
            <w:vAlign w:val="center"/>
          </w:tcPr>
          <w:p>
            <w:pPr>
              <w:spacing w:after="0"/>
            </w:pPr>
            <w:r>
              <w:rPr>
                <w:sz w:val="16"/>
              </w:rPr>
              <w:t>Use verified supported vendor backport or upgrade.</w:t>
            </w:r>
          </w:p>
        </w:tc>
      </w:tr>
    </w:tbl>
    <w:p>
      <w:pPr>
        <w:spacing w:after="0"/>
      </w:pPr>
    </w:p>
    <w:p>
      <w:pPr>
        <w:pStyle w:val="SmallNote"/>
      </w:pPr>
      <w:r>
        <w:t>Source: PHP Security Team [S1]. The table concerns upstream fixed releases. A vendor-maintained package can be fixed without changing the upstream version string. Never infer patch status from a single version command.</w:t>
      </w:r>
    </w:p>
    <w:p>
      <w:pPr>
        <w:pStyle w:val="Heading2"/>
      </w:pPr>
      <w:r>
        <w:t>Immediate response sequence</w:t>
      </w:r>
    </w:p>
    <w:tbl>
      <w:tblPr>
        <w:tblW w:type="auto" w:w="0"/>
        <w:jc w:val="center"/>
        <w:tblLayout w:type="fixed"/>
        <w:tblLook w:firstColumn="1" w:firstRow="1" w:lastColumn="0" w:lastRow="0" w:noHBand="0" w:noVBand="1" w:val="04A0"/>
      </w:tblPr>
      <w:tblGrid>
        <w:gridCol w:w="1699"/>
        <w:gridCol w:w="4824"/>
        <w:gridCol w:w="3341"/>
      </w:tblGrid>
      <w:tr>
        <w:trPr>
          <w:tblHeader w:val="true"/>
        </w:trPr>
        <w:tc>
          <w:tcPr>
            <w:tcW w:type="dxa" w:w="3283"/>
            <w:shd w:fill="E7EFF2"/>
            <w:tcMar>
              <w:top w:w="110" w:type="dxa"/>
              <w:start w:w="105" w:type="dxa"/>
              <w:bottom w:w="110" w:type="dxa"/>
              <w:end w:w="105" w:type="dxa"/>
            </w:tcMar>
          </w:tcPr>
          <w:p>
            <w:r>
              <w:rPr>
                <w:b/>
                <w:color w:val="173044"/>
                <w:sz w:val="16"/>
              </w:rPr>
              <w:t>Window (guidance)</w:t>
            </w:r>
          </w:p>
        </w:tc>
        <w:tc>
          <w:tcPr>
            <w:tcW w:type="dxa" w:w="3283"/>
            <w:shd w:fill="E7EFF2"/>
            <w:tcMar>
              <w:top w:w="110" w:type="dxa"/>
              <w:start w:w="105" w:type="dxa"/>
              <w:bottom w:w="110" w:type="dxa"/>
              <w:end w:w="105" w:type="dxa"/>
            </w:tcMar>
          </w:tcPr>
          <w:p>
            <w:r>
              <w:rPr>
                <w:b/>
                <w:color w:val="173044"/>
                <w:sz w:val="16"/>
              </w:rPr>
              <w:t>Action</w:t>
            </w:r>
          </w:p>
        </w:tc>
        <w:tc>
          <w:tcPr>
            <w:tcW w:type="dxa" w:w="3283"/>
            <w:shd w:fill="E7EFF2"/>
            <w:tcMar>
              <w:top w:w="110" w:type="dxa"/>
              <w:start w:w="105" w:type="dxa"/>
              <w:bottom w:w="110" w:type="dxa"/>
              <w:end w:w="105" w:type="dxa"/>
            </w:tcMar>
          </w:tcPr>
          <w:p>
            <w:r>
              <w:rPr>
                <w:b/>
                <w:color w:val="173044"/>
                <w:sz w:val="16"/>
              </w:rPr>
              <w:t>Required evidence</w:t>
            </w:r>
          </w:p>
        </w:tc>
      </w:tr>
      <w:tr>
        <w:tc>
          <w:tcPr>
            <w:tcW w:type="dxa" w:w="1699"/>
            <w:tcMar>
              <w:top w:w="85" w:type="dxa"/>
              <w:start w:w="105" w:type="dxa"/>
              <w:bottom w:w="80" w:type="dxa"/>
              <w:end w:w="100" w:type="dxa"/>
            </w:tcMar>
            <w:vAlign w:val="center"/>
          </w:tcPr>
          <w:p>
            <w:pPr>
              <w:spacing w:after="0"/>
            </w:pPr>
            <w:r>
              <w:rPr>
                <w:sz w:val="16"/>
              </w:rPr>
              <w:t>First 60 minutes</w:t>
            </w:r>
          </w:p>
        </w:tc>
        <w:tc>
          <w:tcPr>
            <w:tcW w:type="dxa" w:w="4824"/>
            <w:tcMar>
              <w:top w:w="85" w:type="dxa"/>
              <w:start w:w="105" w:type="dxa"/>
              <w:bottom w:w="80" w:type="dxa"/>
              <w:end w:w="100" w:type="dxa"/>
            </w:tcMar>
            <w:vAlign w:val="center"/>
          </w:tcPr>
          <w:p>
            <w:pPr>
              <w:spacing w:after="0"/>
            </w:pPr>
            <w:r>
              <w:rPr>
                <w:sz w:val="16"/>
              </w:rPr>
              <w:t>Assign incident owner; establish customer scope; issue initial notice; pull authoritative sources.</w:t>
            </w:r>
          </w:p>
        </w:tc>
        <w:tc>
          <w:tcPr>
            <w:tcW w:type="dxa" w:w="3341"/>
            <w:tcMar>
              <w:top w:w="85" w:type="dxa"/>
              <w:start w:w="105" w:type="dxa"/>
              <w:bottom w:w="80" w:type="dxa"/>
              <w:end w:w="100" w:type="dxa"/>
            </w:tcMar>
            <w:vAlign w:val="center"/>
          </w:tcPr>
          <w:p>
            <w:pPr>
              <w:spacing w:after="0"/>
            </w:pPr>
            <w:r>
              <w:rPr>
                <w:sz w:val="16"/>
              </w:rPr>
              <w:t>Response ticket, owner, customer universe, advisory snapshot.</w:t>
            </w:r>
          </w:p>
        </w:tc>
      </w:tr>
      <w:tr>
        <w:tc>
          <w:tcPr>
            <w:tcW w:type="dxa" w:w="1699"/>
            <w:tcMar>
              <w:top w:w="85" w:type="dxa"/>
              <w:start w:w="105" w:type="dxa"/>
              <w:bottom w:w="80" w:type="dxa"/>
              <w:end w:w="100" w:type="dxa"/>
            </w:tcMar>
            <w:vAlign w:val="center"/>
          </w:tcPr>
          <w:p>
            <w:pPr>
              <w:spacing w:after="0"/>
            </w:pPr>
            <w:r>
              <w:rPr>
                <w:sz w:val="16"/>
              </w:rPr>
              <w:t>First 4 hours</w:t>
            </w:r>
          </w:p>
        </w:tc>
        <w:tc>
          <w:tcPr>
            <w:tcW w:type="dxa" w:w="4824"/>
            <w:tcMar>
              <w:top w:w="85" w:type="dxa"/>
              <w:start w:w="105" w:type="dxa"/>
              <w:bottom w:w="80" w:type="dxa"/>
              <w:end w:w="100" w:type="dxa"/>
            </w:tcMar>
            <w:vAlign w:val="center"/>
          </w:tcPr>
          <w:p>
            <w:pPr>
              <w:spacing w:after="0"/>
            </w:pPr>
            <w:r>
              <w:rPr>
                <w:sz w:val="16"/>
              </w:rPr>
              <w:t>Identify internet-exposed PHP and critical vendors; assign P0/P1 priorities; approve changes.</w:t>
            </w:r>
          </w:p>
        </w:tc>
        <w:tc>
          <w:tcPr>
            <w:tcW w:type="dxa" w:w="3341"/>
            <w:tcMar>
              <w:top w:w="85" w:type="dxa"/>
              <w:start w:w="105" w:type="dxa"/>
              <w:bottom w:w="80" w:type="dxa"/>
              <w:end w:w="100" w:type="dxa"/>
            </w:tcMar>
            <w:vAlign w:val="center"/>
          </w:tcPr>
          <w:p>
            <w:pPr>
              <w:spacing w:after="0"/>
            </w:pPr>
            <w:r>
              <w:rPr>
                <w:sz w:val="16"/>
              </w:rPr>
              <w:t>Asset leads, ownership, exposure and authorization records.</w:t>
            </w:r>
          </w:p>
        </w:tc>
      </w:tr>
      <w:tr>
        <w:tc>
          <w:tcPr>
            <w:tcW w:type="dxa" w:w="1699"/>
            <w:tcMar>
              <w:top w:w="85" w:type="dxa"/>
              <w:start w:w="105" w:type="dxa"/>
              <w:bottom w:w="80" w:type="dxa"/>
              <w:end w:w="100" w:type="dxa"/>
            </w:tcMar>
            <w:vAlign w:val="center"/>
          </w:tcPr>
          <w:p>
            <w:pPr>
              <w:spacing w:after="0"/>
            </w:pPr>
            <w:r>
              <w:rPr>
                <w:sz w:val="16"/>
              </w:rPr>
              <w:t>First 24 hours</w:t>
            </w:r>
          </w:p>
        </w:tc>
        <w:tc>
          <w:tcPr>
            <w:tcW w:type="dxa" w:w="4824"/>
            <w:tcMar>
              <w:top w:w="85" w:type="dxa"/>
              <w:start w:w="105" w:type="dxa"/>
              <w:bottom w:w="80" w:type="dxa"/>
              <w:end w:w="100" w:type="dxa"/>
            </w:tcMar>
            <w:vAlign w:val="center"/>
          </w:tcPr>
          <w:p>
            <w:pPr>
              <w:spacing w:after="0"/>
            </w:pPr>
            <w:r>
              <w:rPr>
                <w:sz w:val="16"/>
              </w:rPr>
              <w:t>Apply available patches or isolate; validate workers; hunt on exposed assets.</w:t>
            </w:r>
          </w:p>
        </w:tc>
        <w:tc>
          <w:tcPr>
            <w:tcW w:type="dxa" w:w="3341"/>
            <w:tcMar>
              <w:top w:w="85" w:type="dxa"/>
              <w:start w:w="105" w:type="dxa"/>
              <w:bottom w:w="80" w:type="dxa"/>
              <w:end w:w="100" w:type="dxa"/>
            </w:tcMar>
            <w:vAlign w:val="center"/>
          </w:tcPr>
          <w:p>
            <w:pPr>
              <w:spacing w:after="0"/>
            </w:pPr>
            <w:r>
              <w:rPr>
                <w:sz w:val="16"/>
              </w:rPr>
              <w:t>Before/after runtime evidence, change tests, investigation notes.</w:t>
            </w:r>
          </w:p>
        </w:tc>
      </w:tr>
      <w:tr>
        <w:tc>
          <w:tcPr>
            <w:tcW w:type="dxa" w:w="1699"/>
            <w:tcMar>
              <w:top w:w="85" w:type="dxa"/>
              <w:start w:w="105" w:type="dxa"/>
              <w:bottom w:w="80" w:type="dxa"/>
              <w:end w:w="100" w:type="dxa"/>
            </w:tcMar>
            <w:vAlign w:val="center"/>
          </w:tcPr>
          <w:p>
            <w:pPr>
              <w:spacing w:after="0"/>
            </w:pPr>
            <w:r>
              <w:rPr>
                <w:sz w:val="16"/>
              </w:rPr>
              <w:t>Until closure</w:t>
            </w:r>
          </w:p>
        </w:tc>
        <w:tc>
          <w:tcPr>
            <w:tcW w:type="dxa" w:w="4824"/>
            <w:tcMar>
              <w:top w:w="85" w:type="dxa"/>
              <w:start w:w="105" w:type="dxa"/>
              <w:bottom w:w="80" w:type="dxa"/>
              <w:end w:w="100" w:type="dxa"/>
            </w:tcMar>
            <w:vAlign w:val="center"/>
          </w:tcPr>
          <w:p>
            <w:pPr>
              <w:spacing w:after="0"/>
            </w:pPr>
            <w:r>
              <w:rPr>
                <w:sz w:val="16"/>
              </w:rPr>
              <w:t>Resolve unknowns, vendor dependencies and exceptions; send customer dispositions.</w:t>
            </w:r>
          </w:p>
        </w:tc>
        <w:tc>
          <w:tcPr>
            <w:tcW w:type="dxa" w:w="3341"/>
            <w:tcMar>
              <w:top w:w="85" w:type="dxa"/>
              <w:start w:w="105" w:type="dxa"/>
              <w:bottom w:w="80" w:type="dxa"/>
              <w:end w:w="100" w:type="dxa"/>
            </w:tcMar>
            <w:vAlign w:val="center"/>
          </w:tcPr>
          <w:p>
            <w:pPr>
              <w:spacing w:after="0"/>
            </w:pPr>
            <w:r>
              <w:rPr>
                <w:sz w:val="16"/>
              </w:rPr>
              <w:t>Verified status for every in-scope asset or documented open risk.</w:t>
            </w:r>
          </w:p>
        </w:tc>
      </w:tr>
    </w:tbl>
    <w:p>
      <w:pPr>
        <w:spacing w:after="0"/>
      </w:pPr>
    </w:p>
    <w:p>
      <w:pPr>
        <w:pStyle w:val="SmallNote"/>
      </w:pPr>
      <w:r>
        <w:t>These are operational targets, not regulatory deadlines. Adjust to contracts, risk, staffing and evidence. Suspected compromise triggers incident response at any point.</w:t>
      </w:r>
    </w:p>
    <w:p>
      <w:pPr>
        <w:pStyle w:val="Heading1"/>
      </w:pPr>
      <w:r>
        <w:t>1. Activate and govern the response</w:t>
      </w:r>
    </w:p>
    <w:p>
      <w:pPr>
        <w:pStyle w:val="Heading2"/>
      </w:pPr>
      <w:r>
        <w:t>1.1 One response, separate customer records</w:t>
      </w:r>
    </w:p>
    <w:p>
      <w:pPr>
        <w:spacing w:after="60"/>
        <w:ind w:left="288" w:hanging="259"/>
      </w:pPr>
      <w:r>
        <w:t>1.  Open one master vulnerability response record. List every customer in scope, including those requiring only third-party dependency validation.</w:t>
      </w:r>
    </w:p>
    <w:p>
      <w:pPr>
        <w:spacing w:after="60"/>
        <w:ind w:left="288" w:hanging="259"/>
      </w:pPr>
      <w:r>
        <w:t>2.  Assign an incident coordinator, discovery lead, remediation lead, threat-hunting lead, customer communication owner and quality reviewer. Small teams may combine roles but should separate execution from verification where practical.</w:t>
      </w:r>
    </w:p>
    <w:p>
      <w:pPr>
        <w:spacing w:after="60"/>
        <w:ind w:left="288" w:hanging="259"/>
      </w:pPr>
      <w:r>
        <w:t>3.  Confirm emergency-change authority for MSP-owned and customer-owned systems. Document downtime approval, maintenance constraints and sign-off requirements.</w:t>
      </w:r>
    </w:p>
    <w:p>
      <w:pPr>
        <w:spacing w:after="60"/>
        <w:ind w:left="288" w:hanging="259"/>
      </w:pPr>
      <w:r>
        <w:t>4.  Define a second track for possible incidents. A vulnerable system is not automatically compromised; credible indicators merit incident-response escalation.</w:t>
      </w:r>
    </w:p>
    <w:p>
      <w:pPr>
        <w:spacing w:after="60"/>
        <w:ind w:left="288" w:hanging="259"/>
      </w:pPr>
      <w:r>
        <w:t>5.  Record factual updates with timestamp, source and owner. Maintain a decision log for exceptions and disputed ownership.</w:t>
      </w:r>
    </w:p>
    <w:p>
      <w:pPr>
        <w:pStyle w:val="Heading2"/>
      </w:pPr>
      <w:r>
        <w:t>1.2 Responsibility and decision gates</w:t>
      </w:r>
    </w:p>
    <w:tbl>
      <w:tblPr>
        <w:tblW w:type="auto" w:w="0"/>
        <w:jc w:val="center"/>
        <w:tblLayout w:type="fixed"/>
        <w:tblLook w:firstColumn="1" w:firstRow="1" w:lastColumn="0" w:lastRow="0" w:noHBand="0" w:noVBand="1" w:val="04A0"/>
      </w:tblPr>
      <w:tblGrid>
        <w:gridCol w:w="2088"/>
        <w:gridCol w:w="1944"/>
        <w:gridCol w:w="5832"/>
      </w:tblGrid>
      <w:tr>
        <w:trPr>
          <w:tblHeader w:val="true"/>
        </w:trPr>
        <w:tc>
          <w:tcPr>
            <w:tcW w:type="dxa" w:w="3283"/>
            <w:shd w:fill="E7EFF2"/>
            <w:tcMar>
              <w:top w:w="110" w:type="dxa"/>
              <w:start w:w="105" w:type="dxa"/>
              <w:bottom w:w="110" w:type="dxa"/>
              <w:end w:w="105" w:type="dxa"/>
            </w:tcMar>
          </w:tcPr>
          <w:p>
            <w:r>
              <w:rPr>
                <w:b/>
                <w:color w:val="173044"/>
                <w:sz w:val="16"/>
              </w:rPr>
              <w:t>Gate</w:t>
            </w:r>
          </w:p>
        </w:tc>
        <w:tc>
          <w:tcPr>
            <w:tcW w:type="dxa" w:w="3283"/>
            <w:shd w:fill="E7EFF2"/>
            <w:tcMar>
              <w:top w:w="110" w:type="dxa"/>
              <w:start w:w="105" w:type="dxa"/>
              <w:bottom w:w="110" w:type="dxa"/>
              <w:end w:w="105" w:type="dxa"/>
            </w:tcMar>
          </w:tcPr>
          <w:p>
            <w:r>
              <w:rPr>
                <w:b/>
                <w:color w:val="173044"/>
                <w:sz w:val="16"/>
              </w:rPr>
              <w:t>Owner</w:t>
            </w:r>
          </w:p>
        </w:tc>
        <w:tc>
          <w:tcPr>
            <w:tcW w:type="dxa" w:w="3283"/>
            <w:shd w:fill="E7EFF2"/>
            <w:tcMar>
              <w:top w:w="110" w:type="dxa"/>
              <w:start w:w="105" w:type="dxa"/>
              <w:bottom w:w="110" w:type="dxa"/>
              <w:end w:w="105" w:type="dxa"/>
            </w:tcMar>
          </w:tcPr>
          <w:p>
            <w:r>
              <w:rPr>
                <w:b/>
                <w:color w:val="173044"/>
                <w:sz w:val="16"/>
              </w:rPr>
              <w:t>Pass requirement</w:t>
            </w:r>
          </w:p>
        </w:tc>
      </w:tr>
      <w:tr>
        <w:tc>
          <w:tcPr>
            <w:tcW w:type="dxa" w:w="2088"/>
            <w:tcMar>
              <w:top w:w="85" w:type="dxa"/>
              <w:start w:w="105" w:type="dxa"/>
              <w:bottom w:w="80" w:type="dxa"/>
              <w:end w:w="100" w:type="dxa"/>
            </w:tcMar>
            <w:vAlign w:val="center"/>
          </w:tcPr>
          <w:p>
            <w:pPr>
              <w:spacing w:after="0"/>
            </w:pPr>
            <w:r>
              <w:rPr>
                <w:sz w:val="16"/>
              </w:rPr>
              <w:t>G1  Scope accepted</w:t>
            </w:r>
          </w:p>
        </w:tc>
        <w:tc>
          <w:tcPr>
            <w:tcW w:type="dxa" w:w="1944"/>
            <w:tcMar>
              <w:top w:w="85" w:type="dxa"/>
              <w:start w:w="105" w:type="dxa"/>
              <w:bottom w:w="80" w:type="dxa"/>
              <w:end w:w="100" w:type="dxa"/>
            </w:tcMar>
            <w:vAlign w:val="center"/>
          </w:tcPr>
          <w:p>
            <w:pPr>
              <w:spacing w:after="0"/>
            </w:pPr>
            <w:r>
              <w:rPr>
                <w:sz w:val="16"/>
              </w:rPr>
              <w:t>Response coordinator</w:t>
            </w:r>
          </w:p>
        </w:tc>
        <w:tc>
          <w:tcPr>
            <w:tcW w:type="dxa" w:w="5832"/>
            <w:tcMar>
              <w:top w:w="85" w:type="dxa"/>
              <w:start w:w="105" w:type="dxa"/>
              <w:bottom w:w="80" w:type="dxa"/>
              <w:end w:w="100" w:type="dxa"/>
            </w:tcMar>
            <w:vAlign w:val="center"/>
          </w:tcPr>
          <w:p>
            <w:pPr>
              <w:spacing w:after="0"/>
            </w:pPr>
            <w:r>
              <w:rPr>
                <w:sz w:val="16"/>
              </w:rPr>
              <w:t>Customer roster, managed scope, delegated services and unknowns recorded.</w:t>
            </w:r>
          </w:p>
        </w:tc>
      </w:tr>
      <w:tr>
        <w:tc>
          <w:tcPr>
            <w:tcW w:type="dxa" w:w="2088"/>
            <w:tcMar>
              <w:top w:w="85" w:type="dxa"/>
              <w:start w:w="105" w:type="dxa"/>
              <w:bottom w:w="80" w:type="dxa"/>
              <w:end w:w="100" w:type="dxa"/>
            </w:tcMar>
            <w:vAlign w:val="center"/>
          </w:tcPr>
          <w:p>
            <w:pPr>
              <w:spacing w:after="0"/>
            </w:pPr>
            <w:r>
              <w:rPr>
                <w:sz w:val="16"/>
              </w:rPr>
              <w:t>G2  Exposure assessed</w:t>
            </w:r>
          </w:p>
        </w:tc>
        <w:tc>
          <w:tcPr>
            <w:tcW w:type="dxa" w:w="1944"/>
            <w:tcMar>
              <w:top w:w="85" w:type="dxa"/>
              <w:start w:w="105" w:type="dxa"/>
              <w:bottom w:w="80" w:type="dxa"/>
              <w:end w:w="100" w:type="dxa"/>
            </w:tcMar>
            <w:vAlign w:val="center"/>
          </w:tcPr>
          <w:p>
            <w:pPr>
              <w:spacing w:after="0"/>
            </w:pPr>
            <w:r>
              <w:rPr>
                <w:sz w:val="16"/>
              </w:rPr>
              <w:t>Discovery lead</w:t>
            </w:r>
          </w:p>
        </w:tc>
        <w:tc>
          <w:tcPr>
            <w:tcW w:type="dxa" w:w="5832"/>
            <w:tcMar>
              <w:top w:w="85" w:type="dxa"/>
              <w:start w:w="105" w:type="dxa"/>
              <w:bottom w:w="80" w:type="dxa"/>
              <w:end w:w="100" w:type="dxa"/>
            </w:tcMar>
            <w:vAlign w:val="center"/>
          </w:tcPr>
          <w:p>
            <w:pPr>
              <w:spacing w:after="0"/>
            </w:pPr>
            <w:r>
              <w:rPr>
                <w:sz w:val="16"/>
              </w:rPr>
              <w:t>Each lead has evidence, owner and status; negatives have bounded scope.</w:t>
            </w:r>
          </w:p>
        </w:tc>
      </w:tr>
      <w:tr>
        <w:tc>
          <w:tcPr>
            <w:tcW w:type="dxa" w:w="2088"/>
            <w:tcMar>
              <w:top w:w="85" w:type="dxa"/>
              <w:start w:w="105" w:type="dxa"/>
              <w:bottom w:w="80" w:type="dxa"/>
              <w:end w:w="100" w:type="dxa"/>
            </w:tcMar>
            <w:vAlign w:val="center"/>
          </w:tcPr>
          <w:p>
            <w:pPr>
              <w:spacing w:after="0"/>
            </w:pPr>
            <w:r>
              <w:rPr>
                <w:sz w:val="16"/>
              </w:rPr>
              <w:t>G3  Change authorized</w:t>
            </w:r>
          </w:p>
        </w:tc>
        <w:tc>
          <w:tcPr>
            <w:tcW w:type="dxa" w:w="1944"/>
            <w:tcMar>
              <w:top w:w="85" w:type="dxa"/>
              <w:start w:w="105" w:type="dxa"/>
              <w:bottom w:w="80" w:type="dxa"/>
              <w:end w:w="100" w:type="dxa"/>
            </w:tcMar>
            <w:vAlign w:val="center"/>
          </w:tcPr>
          <w:p>
            <w:pPr>
              <w:spacing w:after="0"/>
            </w:pPr>
            <w:r>
              <w:rPr>
                <w:sz w:val="16"/>
              </w:rPr>
              <w:t>System/customer owner</w:t>
            </w:r>
          </w:p>
        </w:tc>
        <w:tc>
          <w:tcPr>
            <w:tcW w:type="dxa" w:w="5832"/>
            <w:tcMar>
              <w:top w:w="85" w:type="dxa"/>
              <w:start w:w="105" w:type="dxa"/>
              <w:bottom w:w="80" w:type="dxa"/>
              <w:end w:w="100" w:type="dxa"/>
            </w:tcMar>
            <w:vAlign w:val="center"/>
          </w:tcPr>
          <w:p>
            <w:pPr>
              <w:spacing w:after="0"/>
            </w:pPr>
            <w:r>
              <w:rPr>
                <w:sz w:val="16"/>
              </w:rPr>
              <w:t>Patch, isolation or exception has explicit approval.</w:t>
            </w:r>
          </w:p>
        </w:tc>
      </w:tr>
      <w:tr>
        <w:tc>
          <w:tcPr>
            <w:tcW w:type="dxa" w:w="2088"/>
            <w:tcMar>
              <w:top w:w="85" w:type="dxa"/>
              <w:start w:w="105" w:type="dxa"/>
              <w:bottom w:w="80" w:type="dxa"/>
              <w:end w:w="100" w:type="dxa"/>
            </w:tcMar>
            <w:vAlign w:val="center"/>
          </w:tcPr>
          <w:p>
            <w:pPr>
              <w:spacing w:after="0"/>
            </w:pPr>
            <w:r>
              <w:rPr>
                <w:sz w:val="16"/>
              </w:rPr>
              <w:t>G4  Patch verified</w:t>
            </w:r>
          </w:p>
        </w:tc>
        <w:tc>
          <w:tcPr>
            <w:tcW w:type="dxa" w:w="1944"/>
            <w:tcMar>
              <w:top w:w="85" w:type="dxa"/>
              <w:start w:w="105" w:type="dxa"/>
              <w:bottom w:w="80" w:type="dxa"/>
              <w:end w:w="100" w:type="dxa"/>
            </w:tcMar>
            <w:vAlign w:val="center"/>
          </w:tcPr>
          <w:p>
            <w:pPr>
              <w:spacing w:after="0"/>
            </w:pPr>
            <w:r>
              <w:rPr>
                <w:sz w:val="16"/>
              </w:rPr>
              <w:t>Independent reviewer</w:t>
            </w:r>
          </w:p>
        </w:tc>
        <w:tc>
          <w:tcPr>
            <w:tcW w:type="dxa" w:w="5832"/>
            <w:tcMar>
              <w:top w:w="85" w:type="dxa"/>
              <w:start w:w="105" w:type="dxa"/>
              <w:bottom w:w="80" w:type="dxa"/>
              <w:end w:w="100" w:type="dxa"/>
            </w:tcMar>
            <w:vAlign w:val="center"/>
          </w:tcPr>
          <w:p>
            <w:pPr>
              <w:spacing w:after="0"/>
            </w:pPr>
            <w:r>
              <w:rPr>
                <w:sz w:val="16"/>
              </w:rPr>
              <w:t>Serving runtime, workers and application function confirmed.</w:t>
            </w:r>
          </w:p>
        </w:tc>
      </w:tr>
      <w:tr>
        <w:tc>
          <w:tcPr>
            <w:tcW w:type="dxa" w:w="2088"/>
            <w:tcMar>
              <w:top w:w="85" w:type="dxa"/>
              <w:start w:w="105" w:type="dxa"/>
              <w:bottom w:w="80" w:type="dxa"/>
              <w:end w:w="100" w:type="dxa"/>
            </w:tcMar>
            <w:vAlign w:val="center"/>
          </w:tcPr>
          <w:p>
            <w:pPr>
              <w:spacing w:after="0"/>
            </w:pPr>
            <w:r>
              <w:rPr>
                <w:sz w:val="16"/>
              </w:rPr>
              <w:t>G5  Compromise disposition</w:t>
            </w:r>
          </w:p>
        </w:tc>
        <w:tc>
          <w:tcPr>
            <w:tcW w:type="dxa" w:w="1944"/>
            <w:tcMar>
              <w:top w:w="85" w:type="dxa"/>
              <w:start w:w="105" w:type="dxa"/>
              <w:bottom w:w="80" w:type="dxa"/>
              <w:end w:w="100" w:type="dxa"/>
            </w:tcMar>
            <w:vAlign w:val="center"/>
          </w:tcPr>
          <w:p>
            <w:pPr>
              <w:spacing w:after="0"/>
            </w:pPr>
            <w:r>
              <w:rPr>
                <w:sz w:val="16"/>
              </w:rPr>
              <w:t>Security lead</w:t>
            </w:r>
          </w:p>
        </w:tc>
        <w:tc>
          <w:tcPr>
            <w:tcW w:type="dxa" w:w="5832"/>
            <w:tcMar>
              <w:top w:w="85" w:type="dxa"/>
              <w:start w:w="105" w:type="dxa"/>
              <w:bottom w:w="80" w:type="dxa"/>
              <w:end w:w="100" w:type="dxa"/>
            </w:tcMar>
            <w:vAlign w:val="center"/>
          </w:tcPr>
          <w:p>
            <w:pPr>
              <w:spacing w:after="0"/>
            </w:pPr>
            <w:r>
              <w:rPr>
                <w:sz w:val="16"/>
              </w:rPr>
              <w:t>Threat-hunt results documented or escalated to IR.</w:t>
            </w:r>
          </w:p>
        </w:tc>
      </w:tr>
      <w:tr>
        <w:tc>
          <w:tcPr>
            <w:tcW w:type="dxa" w:w="2088"/>
            <w:tcMar>
              <w:top w:w="85" w:type="dxa"/>
              <w:start w:w="105" w:type="dxa"/>
              <w:bottom w:w="80" w:type="dxa"/>
              <w:end w:w="100" w:type="dxa"/>
            </w:tcMar>
            <w:vAlign w:val="center"/>
          </w:tcPr>
          <w:p>
            <w:pPr>
              <w:spacing w:after="0"/>
            </w:pPr>
            <w:r>
              <w:rPr>
                <w:sz w:val="16"/>
              </w:rPr>
              <w:t>G6  Customer closure</w:t>
            </w:r>
          </w:p>
        </w:tc>
        <w:tc>
          <w:tcPr>
            <w:tcW w:type="dxa" w:w="1944"/>
            <w:tcMar>
              <w:top w:w="85" w:type="dxa"/>
              <w:start w:w="105" w:type="dxa"/>
              <w:bottom w:w="80" w:type="dxa"/>
              <w:end w:w="100" w:type="dxa"/>
            </w:tcMar>
            <w:vAlign w:val="center"/>
          </w:tcPr>
          <w:p>
            <w:pPr>
              <w:spacing w:after="0"/>
            </w:pPr>
            <w:r>
              <w:rPr>
                <w:sz w:val="16"/>
              </w:rPr>
              <w:t>Account owner + coordinator</w:t>
            </w:r>
          </w:p>
        </w:tc>
        <w:tc>
          <w:tcPr>
            <w:tcW w:type="dxa" w:w="5832"/>
            <w:tcMar>
              <w:top w:w="85" w:type="dxa"/>
              <w:start w:w="105" w:type="dxa"/>
              <w:bottom w:w="80" w:type="dxa"/>
              <w:end w:w="100" w:type="dxa"/>
            </w:tcMar>
            <w:vAlign w:val="center"/>
          </w:tcPr>
          <w:p>
            <w:pPr>
              <w:spacing w:after="0"/>
            </w:pPr>
            <w:r>
              <w:rPr>
                <w:sz w:val="16"/>
              </w:rPr>
              <w:t>Residual risks, vendor dependencies and customer notice complete.</w:t>
            </w:r>
          </w:p>
        </w:tc>
      </w:tr>
    </w:tbl>
    <w:p>
      <w:pPr>
        <w:spacing w:after="0"/>
      </w:pPr>
    </w:p>
    <w:p>
      <w:r>
        <w:t>Stop conditions: no authority to change a system; suspected compromise requiring preservation; unverified patch source; material application outage risk; or ambiguous evidence that could create a false “safe” conclusion. Escalate rather than bypassing the gate.</w:t>
      </w:r>
    </w:p>
    <w:p>
      <w:pPr>
        <w:pStyle w:val="Heading1"/>
      </w:pPr>
      <w:r>
        <w:t>2. Define the customer exposure universe</w:t>
      </w:r>
    </w:p>
    <w:p>
      <w:pPr>
        <w:pStyle w:val="Heading2"/>
      </w:pPr>
      <w:r>
        <w:t>2.1 Investigate all four dependency classes</w:t>
      </w:r>
    </w:p>
    <w:tbl>
      <w:tblPr>
        <w:tblW w:type="auto" w:w="0"/>
        <w:jc w:val="center"/>
        <w:tblLayout w:type="fixed"/>
        <w:tblLook w:firstColumn="1" w:firstRow="1" w:lastColumn="0" w:lastRow="0" w:noHBand="0" w:noVBand="1" w:val="04A0"/>
      </w:tblPr>
      <w:tblGrid>
        <w:gridCol w:w="1800"/>
        <w:gridCol w:w="4464"/>
        <w:gridCol w:w="3600"/>
      </w:tblGrid>
      <w:tr>
        <w:trPr>
          <w:tblHeader w:val="true"/>
        </w:trPr>
        <w:tc>
          <w:tcPr>
            <w:tcW w:type="dxa" w:w="3283"/>
            <w:shd w:fill="E7EFF2"/>
            <w:tcMar>
              <w:top w:w="110" w:type="dxa"/>
              <w:start w:w="105" w:type="dxa"/>
              <w:bottom w:w="110" w:type="dxa"/>
              <w:end w:w="105" w:type="dxa"/>
            </w:tcMar>
          </w:tcPr>
          <w:p>
            <w:r>
              <w:rPr>
                <w:b/>
                <w:color w:val="173044"/>
                <w:sz w:val="16"/>
              </w:rPr>
              <w:t>Class</w:t>
            </w:r>
          </w:p>
        </w:tc>
        <w:tc>
          <w:tcPr>
            <w:tcW w:type="dxa" w:w="3283"/>
            <w:shd w:fill="E7EFF2"/>
            <w:tcMar>
              <w:top w:w="110" w:type="dxa"/>
              <w:start w:w="105" w:type="dxa"/>
              <w:bottom w:w="110" w:type="dxa"/>
              <w:end w:w="105" w:type="dxa"/>
            </w:tcMar>
          </w:tcPr>
          <w:p>
            <w:r>
              <w:rPr>
                <w:b/>
                <w:color w:val="173044"/>
                <w:sz w:val="16"/>
              </w:rPr>
              <w:t>Include</w:t>
            </w:r>
          </w:p>
        </w:tc>
        <w:tc>
          <w:tcPr>
            <w:tcW w:type="dxa" w:w="3283"/>
            <w:shd w:fill="E7EFF2"/>
            <w:tcMar>
              <w:top w:w="110" w:type="dxa"/>
              <w:start w:w="105" w:type="dxa"/>
              <w:bottom w:w="110" w:type="dxa"/>
              <w:end w:w="105" w:type="dxa"/>
            </w:tcMar>
          </w:tcPr>
          <w:p>
            <w:r>
              <w:rPr>
                <w:b/>
                <w:color w:val="173044"/>
                <w:sz w:val="16"/>
              </w:rPr>
              <w:t>Control question</w:t>
            </w:r>
          </w:p>
        </w:tc>
      </w:tr>
      <w:tr>
        <w:tc>
          <w:tcPr>
            <w:tcW w:type="dxa" w:w="1800"/>
            <w:tcMar>
              <w:top w:w="85" w:type="dxa"/>
              <w:start w:w="105" w:type="dxa"/>
              <w:bottom w:w="80" w:type="dxa"/>
              <w:end w:w="100" w:type="dxa"/>
            </w:tcMar>
            <w:vAlign w:val="center"/>
          </w:tcPr>
          <w:p>
            <w:pPr>
              <w:spacing w:after="0"/>
            </w:pPr>
            <w:r>
              <w:rPr>
                <w:sz w:val="16"/>
              </w:rPr>
              <w:t>MSP-owned</w:t>
            </w:r>
          </w:p>
        </w:tc>
        <w:tc>
          <w:tcPr>
            <w:tcW w:type="dxa" w:w="4464"/>
            <w:tcMar>
              <w:top w:w="85" w:type="dxa"/>
              <w:start w:w="105" w:type="dxa"/>
              <w:bottom w:w="80" w:type="dxa"/>
              <w:end w:w="100" w:type="dxa"/>
            </w:tcMar>
            <w:vAlign w:val="center"/>
          </w:tcPr>
          <w:p>
            <w:pPr>
              <w:spacing w:after="0"/>
            </w:pPr>
            <w:r>
              <w:rPr>
                <w:sz w:val="16"/>
              </w:rPr>
              <w:t>Internal portals, RMM/PSA adjacent tools, monitoring, hosting, management UIs, dev systems.</w:t>
            </w:r>
          </w:p>
        </w:tc>
        <w:tc>
          <w:tcPr>
            <w:tcW w:type="dxa" w:w="3600"/>
            <w:tcMar>
              <w:top w:w="85" w:type="dxa"/>
              <w:start w:w="105" w:type="dxa"/>
              <w:bottom w:w="80" w:type="dxa"/>
              <w:end w:w="100" w:type="dxa"/>
            </w:tcMar>
            <w:vAlign w:val="center"/>
          </w:tcPr>
          <w:p>
            <w:pPr>
              <w:spacing w:after="0"/>
            </w:pPr>
            <w:r>
              <w:rPr>
                <w:sz w:val="16"/>
              </w:rPr>
              <w:t>Does this create cross-customer access or shared service exposure?</w:t>
            </w:r>
          </w:p>
        </w:tc>
      </w:tr>
      <w:tr>
        <w:tc>
          <w:tcPr>
            <w:tcW w:type="dxa" w:w="1800"/>
            <w:tcMar>
              <w:top w:w="85" w:type="dxa"/>
              <w:start w:w="105" w:type="dxa"/>
              <w:bottom w:w="80" w:type="dxa"/>
              <w:end w:w="100" w:type="dxa"/>
            </w:tcMar>
            <w:vAlign w:val="center"/>
          </w:tcPr>
          <w:p>
            <w:pPr>
              <w:spacing w:after="0"/>
            </w:pPr>
            <w:r>
              <w:rPr>
                <w:sz w:val="16"/>
              </w:rPr>
              <w:t>Customer-owned</w:t>
            </w:r>
          </w:p>
        </w:tc>
        <w:tc>
          <w:tcPr>
            <w:tcW w:type="dxa" w:w="4464"/>
            <w:tcMar>
              <w:top w:w="85" w:type="dxa"/>
              <w:start w:w="105" w:type="dxa"/>
              <w:bottom w:w="80" w:type="dxa"/>
              <w:end w:w="100" w:type="dxa"/>
            </w:tcMar>
            <w:vAlign w:val="center"/>
          </w:tcPr>
          <w:p>
            <w:pPr>
              <w:spacing w:after="0"/>
            </w:pPr>
            <w:r>
              <w:rPr>
                <w:sz w:val="16"/>
              </w:rPr>
              <w:t>Websites, intranets, internal apps, business systems, desktops running local services.</w:t>
            </w:r>
          </w:p>
        </w:tc>
        <w:tc>
          <w:tcPr>
            <w:tcW w:type="dxa" w:w="3600"/>
            <w:tcMar>
              <w:top w:w="85" w:type="dxa"/>
              <w:start w:w="105" w:type="dxa"/>
              <w:bottom w:w="80" w:type="dxa"/>
              <w:end w:w="100" w:type="dxa"/>
            </w:tcMar>
            <w:vAlign w:val="center"/>
          </w:tcPr>
          <w:p>
            <w:pPr>
              <w:spacing w:after="0"/>
            </w:pPr>
            <w:r>
              <w:rPr>
                <w:sz w:val="16"/>
              </w:rPr>
              <w:t>Is it in our support or advisory scope?</w:t>
            </w:r>
          </w:p>
        </w:tc>
      </w:tr>
      <w:tr>
        <w:tc>
          <w:tcPr>
            <w:tcW w:type="dxa" w:w="1800"/>
            <w:tcMar>
              <w:top w:w="85" w:type="dxa"/>
              <w:start w:w="105" w:type="dxa"/>
              <w:bottom w:w="80" w:type="dxa"/>
              <w:end w:w="100" w:type="dxa"/>
            </w:tcMar>
            <w:vAlign w:val="center"/>
          </w:tcPr>
          <w:p>
            <w:pPr>
              <w:spacing w:after="0"/>
            </w:pPr>
            <w:r>
              <w:rPr>
                <w:sz w:val="16"/>
              </w:rPr>
              <w:t>Cloud and containers</w:t>
            </w:r>
          </w:p>
        </w:tc>
        <w:tc>
          <w:tcPr>
            <w:tcW w:type="dxa" w:w="4464"/>
            <w:tcMar>
              <w:top w:w="85" w:type="dxa"/>
              <w:start w:w="105" w:type="dxa"/>
              <w:bottom w:w="80" w:type="dxa"/>
              <w:end w:w="100" w:type="dxa"/>
            </w:tcMar>
            <w:vAlign w:val="center"/>
          </w:tcPr>
          <w:p>
            <w:pPr>
              <w:spacing w:after="0"/>
            </w:pPr>
            <w:r>
              <w:rPr>
                <w:sz w:val="16"/>
              </w:rPr>
              <w:t>VMs, images, pods, managed runtimes, serverless functions, registries, CI/CD templates.</w:t>
            </w:r>
          </w:p>
        </w:tc>
        <w:tc>
          <w:tcPr>
            <w:tcW w:type="dxa" w:w="3600"/>
            <w:tcMar>
              <w:top w:w="85" w:type="dxa"/>
              <w:start w:w="105" w:type="dxa"/>
              <w:bottom w:w="80" w:type="dxa"/>
              <w:end w:w="100" w:type="dxa"/>
            </w:tcMar>
            <w:vAlign w:val="center"/>
          </w:tcPr>
          <w:p>
            <w:pPr>
              <w:spacing w:after="0"/>
            </w:pPr>
            <w:r>
              <w:rPr>
                <w:sz w:val="16"/>
              </w:rPr>
              <w:t>Who can rebuild and redeploy the underlying runtime?</w:t>
            </w:r>
          </w:p>
        </w:tc>
      </w:tr>
      <w:tr>
        <w:tc>
          <w:tcPr>
            <w:tcW w:type="dxa" w:w="1800"/>
            <w:tcMar>
              <w:top w:w="85" w:type="dxa"/>
              <w:start w:w="105" w:type="dxa"/>
              <w:bottom w:w="80" w:type="dxa"/>
              <w:end w:w="100" w:type="dxa"/>
            </w:tcMar>
            <w:vAlign w:val="center"/>
          </w:tcPr>
          <w:p>
            <w:pPr>
              <w:spacing w:after="0"/>
            </w:pPr>
            <w:r>
              <w:rPr>
                <w:sz w:val="16"/>
              </w:rPr>
              <w:t>Third-party</w:t>
            </w:r>
          </w:p>
        </w:tc>
        <w:tc>
          <w:tcPr>
            <w:tcW w:type="dxa" w:w="4464"/>
            <w:tcMar>
              <w:top w:w="85" w:type="dxa"/>
              <w:start w:w="105" w:type="dxa"/>
              <w:bottom w:w="80" w:type="dxa"/>
              <w:end w:w="100" w:type="dxa"/>
            </w:tcMar>
            <w:vAlign w:val="center"/>
          </w:tcPr>
          <w:p>
            <w:pPr>
              <w:spacing w:after="0"/>
            </w:pPr>
            <w:r>
              <w:rPr>
                <w:sz w:val="16"/>
              </w:rPr>
              <w:t>Website agencies, hosting panels, appliances, SaaS vendors and embedded PHP dependencies.</w:t>
            </w:r>
          </w:p>
        </w:tc>
        <w:tc>
          <w:tcPr>
            <w:tcW w:type="dxa" w:w="3600"/>
            <w:tcMar>
              <w:top w:w="85" w:type="dxa"/>
              <w:start w:w="105" w:type="dxa"/>
              <w:bottom w:w="80" w:type="dxa"/>
              <w:end w:w="100" w:type="dxa"/>
            </w:tcMar>
            <w:vAlign w:val="center"/>
          </w:tcPr>
          <w:p>
            <w:pPr>
              <w:spacing w:after="0"/>
            </w:pPr>
            <w:r>
              <w:rPr>
                <w:sz w:val="16"/>
              </w:rPr>
              <w:t>Who must attest to a fix, and how do we verify?</w:t>
            </w:r>
          </w:p>
        </w:tc>
      </w:tr>
    </w:tbl>
    <w:p>
      <w:pPr>
        <w:spacing w:after="0"/>
      </w:pPr>
    </w:p>
    <w:p>
      <w:pPr>
        <w:pStyle w:val="Heading2"/>
      </w:pPr>
      <w:r>
        <w:t>2.2 Correlate discovery sources</w:t>
      </w:r>
    </w:p>
    <w:p>
      <w:r>
        <w:t>Start with RMM inventories, EDR software discovery, vulnerability platforms and CMDB data. Reconcile against DNS/domain records, cloud control planes, public-facing application inventory, web hosting panels, network exposure maps, container catalogs, procurement/vendor lists, backup catalogs and tickets referencing PHP, WordPress, Drupal, Joomla or Magento. [S7-S8]</w:t>
      </w:r>
    </w:p>
    <w:p>
      <w:r>
        <w:t>Flag unmatched applications and asset groups as UNKNOWN. An inventory source that finds no PHP cannot prove PHP is absent. Shared-hosting control panels, vendor appliances and self-contained application stacks are frequent blind spots.</w:t>
      </w:r>
    </w:p>
    <w:p>
      <w:pPr>
        <w:pStyle w:val="Heading2"/>
      </w:pPr>
      <w:r>
        <w:t>2.3 Minimum per-asset record</w:t>
      </w:r>
    </w:p>
    <w:tbl>
      <w:tblPr>
        <w:tblW w:type="auto" w:w="0"/>
        <w:jc w:val="center"/>
        <w:tblLayout w:type="fixed"/>
        <w:tblLook w:firstColumn="1" w:firstRow="1" w:lastColumn="0" w:lastRow="0" w:noHBand="0" w:noVBand="1" w:val="04A0"/>
      </w:tblPr>
      <w:tblGrid>
        <w:gridCol w:w="1613"/>
        <w:gridCol w:w="8251"/>
      </w:tblGrid>
      <w:tr>
        <w:trPr>
          <w:tblHeader w:val="true"/>
        </w:trPr>
        <w:tc>
          <w:tcPr>
            <w:tcW w:type="dxa" w:w="4925"/>
            <w:shd w:fill="E7EFF2"/>
            <w:tcMar>
              <w:top w:w="110" w:type="dxa"/>
              <w:start w:w="105" w:type="dxa"/>
              <w:bottom w:w="110" w:type="dxa"/>
              <w:end w:w="105" w:type="dxa"/>
            </w:tcMar>
          </w:tcPr>
          <w:p>
            <w:r>
              <w:rPr>
                <w:b/>
                <w:color w:val="173044"/>
                <w:sz w:val="16"/>
              </w:rPr>
              <w:t>Field group</w:t>
            </w:r>
          </w:p>
        </w:tc>
        <w:tc>
          <w:tcPr>
            <w:tcW w:type="dxa" w:w="4925"/>
            <w:shd w:fill="E7EFF2"/>
            <w:tcMar>
              <w:top w:w="110" w:type="dxa"/>
              <w:start w:w="105" w:type="dxa"/>
              <w:bottom w:w="110" w:type="dxa"/>
              <w:end w:w="105" w:type="dxa"/>
            </w:tcMar>
          </w:tcPr>
          <w:p>
            <w:r>
              <w:rPr>
                <w:b/>
                <w:color w:val="173044"/>
                <w:sz w:val="16"/>
              </w:rPr>
              <w:t>Record</w:t>
            </w:r>
          </w:p>
        </w:tc>
      </w:tr>
      <w:tr>
        <w:tc>
          <w:tcPr>
            <w:tcW w:type="dxa" w:w="1613"/>
            <w:tcMar>
              <w:top w:w="85" w:type="dxa"/>
              <w:start w:w="105" w:type="dxa"/>
              <w:bottom w:w="80" w:type="dxa"/>
              <w:end w:w="100" w:type="dxa"/>
            </w:tcMar>
            <w:vAlign w:val="center"/>
          </w:tcPr>
          <w:p>
            <w:pPr>
              <w:spacing w:after="0"/>
            </w:pPr>
            <w:r>
              <w:rPr>
                <w:sz w:val="16"/>
              </w:rPr>
              <w:t>Identity</w:t>
            </w:r>
          </w:p>
        </w:tc>
        <w:tc>
          <w:tcPr>
            <w:tcW w:type="dxa" w:w="8251"/>
            <w:tcMar>
              <w:top w:w="85" w:type="dxa"/>
              <w:start w:w="105" w:type="dxa"/>
              <w:bottom w:w="80" w:type="dxa"/>
              <w:end w:w="100" w:type="dxa"/>
            </w:tcMar>
            <w:vAlign w:val="center"/>
          </w:tcPr>
          <w:p>
            <w:pPr>
              <w:spacing w:after="0"/>
            </w:pPr>
            <w:r>
              <w:rPr>
                <w:sz w:val="16"/>
              </w:rPr>
              <w:t>Customer ID; asset/service ID; hostname/domain; application name; production/development.</w:t>
            </w:r>
          </w:p>
        </w:tc>
      </w:tr>
      <w:tr>
        <w:tc>
          <w:tcPr>
            <w:tcW w:type="dxa" w:w="1613"/>
            <w:tcMar>
              <w:top w:w="85" w:type="dxa"/>
              <w:start w:w="105" w:type="dxa"/>
              <w:bottom w:w="80" w:type="dxa"/>
              <w:end w:w="100" w:type="dxa"/>
            </w:tcMar>
            <w:vAlign w:val="center"/>
          </w:tcPr>
          <w:p>
            <w:pPr>
              <w:spacing w:after="0"/>
            </w:pPr>
            <w:r>
              <w:rPr>
                <w:sz w:val="16"/>
              </w:rPr>
              <w:t>Technical</w:t>
            </w:r>
          </w:p>
        </w:tc>
        <w:tc>
          <w:tcPr>
            <w:tcW w:type="dxa" w:w="8251"/>
            <w:tcMar>
              <w:top w:w="85" w:type="dxa"/>
              <w:start w:w="105" w:type="dxa"/>
              <w:bottom w:w="80" w:type="dxa"/>
              <w:end w:w="100" w:type="dxa"/>
            </w:tcMar>
            <w:vAlign w:val="center"/>
          </w:tcPr>
          <w:p>
            <w:pPr>
              <w:spacing w:after="0"/>
            </w:pPr>
            <w:r>
              <w:rPr>
                <w:sz w:val="16"/>
              </w:rPr>
              <w:t>Web-serving PHP executable/module/image; SAPI; version; package release; OS; network exposure.</w:t>
            </w:r>
          </w:p>
        </w:tc>
      </w:tr>
      <w:tr>
        <w:tc>
          <w:tcPr>
            <w:tcW w:type="dxa" w:w="1613"/>
            <w:tcMar>
              <w:top w:w="85" w:type="dxa"/>
              <w:start w:w="105" w:type="dxa"/>
              <w:bottom w:w="80" w:type="dxa"/>
              <w:end w:w="100" w:type="dxa"/>
            </w:tcMar>
            <w:vAlign w:val="center"/>
          </w:tcPr>
          <w:p>
            <w:pPr>
              <w:spacing w:after="0"/>
            </w:pPr>
            <w:r>
              <w:rPr>
                <w:sz w:val="16"/>
              </w:rPr>
              <w:t>Management</w:t>
            </w:r>
          </w:p>
        </w:tc>
        <w:tc>
          <w:tcPr>
            <w:tcW w:type="dxa" w:w="8251"/>
            <w:tcMar>
              <w:top w:w="85" w:type="dxa"/>
              <w:start w:w="105" w:type="dxa"/>
              <w:bottom w:w="80" w:type="dxa"/>
              <w:end w:w="100" w:type="dxa"/>
            </w:tcMar>
            <w:vAlign w:val="center"/>
          </w:tcPr>
          <w:p>
            <w:pPr>
              <w:spacing w:after="0"/>
            </w:pPr>
            <w:r>
              <w:rPr>
                <w:sz w:val="16"/>
              </w:rPr>
              <w:t>MSP/customer/vendor owner; administrative authority; critical business process; change window.</w:t>
            </w:r>
          </w:p>
        </w:tc>
      </w:tr>
      <w:tr>
        <w:tc>
          <w:tcPr>
            <w:tcW w:type="dxa" w:w="1613"/>
            <w:tcMar>
              <w:top w:w="85" w:type="dxa"/>
              <w:start w:w="105" w:type="dxa"/>
              <w:bottom w:w="80" w:type="dxa"/>
              <w:end w:w="100" w:type="dxa"/>
            </w:tcMar>
            <w:vAlign w:val="center"/>
          </w:tcPr>
          <w:p>
            <w:pPr>
              <w:spacing w:after="0"/>
            </w:pPr>
            <w:r>
              <w:rPr>
                <w:sz w:val="16"/>
              </w:rPr>
              <w:t>Assessment</w:t>
            </w:r>
          </w:p>
        </w:tc>
        <w:tc>
          <w:tcPr>
            <w:tcW w:type="dxa" w:w="8251"/>
            <w:tcMar>
              <w:top w:w="85" w:type="dxa"/>
              <w:start w:w="105" w:type="dxa"/>
              <w:bottom w:w="80" w:type="dxa"/>
              <w:end w:w="100" w:type="dxa"/>
            </w:tcMar>
            <w:vAlign w:val="center"/>
          </w:tcPr>
          <w:p>
            <w:pPr>
              <w:spacing w:after="0"/>
            </w:pPr>
            <w:r>
              <w:rPr>
                <w:sz w:val="16"/>
              </w:rPr>
              <w:t>Discovery evidence; exact advisory/vendor source; risk class; suspected compromise review.</w:t>
            </w:r>
          </w:p>
        </w:tc>
      </w:tr>
      <w:tr>
        <w:tc>
          <w:tcPr>
            <w:tcW w:type="dxa" w:w="1613"/>
            <w:tcMar>
              <w:top w:w="85" w:type="dxa"/>
              <w:start w:w="105" w:type="dxa"/>
              <w:bottom w:w="80" w:type="dxa"/>
              <w:end w:w="100" w:type="dxa"/>
            </w:tcMar>
            <w:vAlign w:val="center"/>
          </w:tcPr>
          <w:p>
            <w:pPr>
              <w:spacing w:after="0"/>
            </w:pPr>
            <w:r>
              <w:rPr>
                <w:sz w:val="16"/>
              </w:rPr>
              <w:t>Remediation</w:t>
            </w:r>
          </w:p>
        </w:tc>
        <w:tc>
          <w:tcPr>
            <w:tcW w:type="dxa" w:w="8251"/>
            <w:tcMar>
              <w:top w:w="85" w:type="dxa"/>
              <w:start w:w="105" w:type="dxa"/>
              <w:bottom w:w="80" w:type="dxa"/>
              <w:end w:w="100" w:type="dxa"/>
            </w:tcMar>
            <w:vAlign w:val="center"/>
          </w:tcPr>
          <w:p>
            <w:pPr>
              <w:spacing w:after="0"/>
            </w:pPr>
            <w:r>
              <w:rPr>
                <w:sz w:val="16"/>
              </w:rPr>
              <w:t>Change ticket; approved option; before/after version; restart evidence; functionality checks.</w:t>
            </w:r>
          </w:p>
        </w:tc>
      </w:tr>
      <w:tr>
        <w:tc>
          <w:tcPr>
            <w:tcW w:type="dxa" w:w="1613"/>
            <w:tcMar>
              <w:top w:w="85" w:type="dxa"/>
              <w:start w:w="105" w:type="dxa"/>
              <w:bottom w:w="80" w:type="dxa"/>
              <w:end w:w="100" w:type="dxa"/>
            </w:tcMar>
            <w:vAlign w:val="center"/>
          </w:tcPr>
          <w:p>
            <w:pPr>
              <w:spacing w:after="0"/>
            </w:pPr>
            <w:r>
              <w:rPr>
                <w:sz w:val="16"/>
              </w:rPr>
              <w:t>Closure</w:t>
            </w:r>
          </w:p>
        </w:tc>
        <w:tc>
          <w:tcPr>
            <w:tcW w:type="dxa" w:w="8251"/>
            <w:tcMar>
              <w:top w:w="85" w:type="dxa"/>
              <w:start w:w="105" w:type="dxa"/>
              <w:bottom w:w="80" w:type="dxa"/>
              <w:end w:w="100" w:type="dxa"/>
            </w:tcMar>
            <w:vAlign w:val="center"/>
          </w:tcPr>
          <w:p>
            <w:pPr>
              <w:spacing w:after="0"/>
            </w:pPr>
            <w:r>
              <w:rPr>
                <w:sz w:val="16"/>
              </w:rPr>
              <w:t>Reviewer; UTC verification time; immutable evidence link; exception or open dependency.</w:t>
            </w:r>
          </w:p>
        </w:tc>
      </w:tr>
    </w:tbl>
    <w:p>
      <w:pPr>
        <w:spacing w:after="0"/>
      </w:pPr>
    </w:p>
    <w:p>
      <w:pPr>
        <w:pStyle w:val="Heading1"/>
      </w:pPr>
      <w:r>
        <w:t>3. Discover PHP without disturbing production</w:t>
      </w:r>
    </w:p>
    <w:p>
      <w:r>
        <w:t>Use locally authorized, read-only collection first. Do not run internet-facing exploit probes, proof-of-concept payloads, aggressive port scans or arbitrary binaries to establish exposure. Limit evidence collection to the customer and systems you are authorized to administer.</w:t>
      </w:r>
    </w:p>
    <w:p>
      <w:pPr>
        <w:pStyle w:val="Heading2"/>
      </w:pPr>
      <w:r>
        <w:t>3.1 Windows, IIS and local application stacks</w:t>
      </w:r>
    </w:p>
    <w:p>
      <w:r>
        <w:t>Check installed software and packages, known PHP paths, services, running processes, IIS FastCGI mappings, IIS site/application pool settings, web server configuration and any application-specific PHP stack. A CLI version can differ from the runtime serving a web request.</w:t>
      </w:r>
    </w:p>
    <w:p>
      <w:pPr>
        <w:pStyle w:val="CodeLine"/>
      </w:pPr>
      <w:r>
        <w:t>Get-Command php.exe -All -ErrorAction SilentlyContinue</w:t>
      </w:r>
    </w:p>
    <w:p>
      <w:pPr>
        <w:pStyle w:val="CodeLine"/>
      </w:pPr>
      <w:r>
        <w:t>Get-CimInstance Win32_Process | Where-Object { $_.Name -match</w:t>
      </w:r>
    </w:p>
    <w:p>
      <w:pPr>
        <w:pStyle w:val="CodeLine"/>
      </w:pPr>
      <w:r>
        <w:t xml:space="preserve">  '^(php|php-cgi|httpd|nginx|w3wp|iisexpress)\.exe$' } |</w:t>
      </w:r>
    </w:p>
    <w:p>
      <w:pPr>
        <w:pStyle w:val="CodeLine"/>
      </w:pPr>
      <w:r>
        <w:t xml:space="preserve">  Select-Object Name,ExecutablePath,ProcessId</w:t>
      </w:r>
    </w:p>
    <w:p>
      <w:pPr>
        <w:pStyle w:val="CodeLine"/>
      </w:pPr>
      <w:r>
        <w:t>Get-NetTCPConnection -State Listen | Select-Object LocalAddress,LocalPort,OwningProcess</w:t>
      </w:r>
    </w:p>
    <w:p>
      <w:r>
        <w:t>For IIS, review FastCGI application mappings and the absolute executable path. If PHP runs via an embedded module or separate service, verify that instance too. If a service listens only on 127.0.0.1 or ::1, record reduced network exposure, not automatic immunity. A local process could still consume untrusted input.</w:t>
      </w:r>
    </w:p>
    <w:p>
      <w:pPr>
        <w:pStyle w:val="SmallNote"/>
      </w:pPr>
      <w:r>
        <w:t>Companion script: Windows-PHP-Discovery.ps1. It records leads without invoking discovered executables. Its negative result is NOT proof of absence. Keep resulting path and host data confidential.</w:t>
      </w:r>
    </w:p>
    <w:p>
      <w:pPr>
        <w:pStyle w:val="Heading2"/>
      </w:pPr>
      <w:r>
        <w:t>3.2 Linux packages, services and workers</w:t>
      </w:r>
    </w:p>
    <w:p>
      <w:pPr>
        <w:pStyle w:val="CodeLine"/>
      </w:pPr>
      <w:r>
        <w:t>command -v php &amp;&amp; php -v</w:t>
      </w:r>
    </w:p>
    <w:p>
      <w:pPr>
        <w:pStyle w:val="CodeLine"/>
      </w:pPr>
      <w:r>
        <w:t>ps -eo pid,user,args | grep -E '[p]hp-fpm|[p]hp-cgi|[l]sphp|[a]pache2|[h]ttpd'</w:t>
      </w:r>
    </w:p>
    <w:p>
      <w:pPr>
        <w:pStyle w:val="CodeLine"/>
      </w:pPr>
      <w:r>
        <w:t>dpkg-query -W -f='${Package} ${Version}\n' 'php*'  # Debian family</w:t>
      </w:r>
    </w:p>
    <w:p>
      <w:pPr>
        <w:pStyle w:val="CodeLine"/>
      </w:pPr>
      <w:r>
        <w:t>rpm -qa | grep -E '^(php|ea-php|alt-php|plesk-php)' # RPM family</w:t>
      </w:r>
    </w:p>
    <w:p>
      <w:r>
        <w:t>Read the package vendor changelog and security update notes. Map each virtual host to the actual PHP handler, pool, module or binary. Check old workers after package updates. Distribution backports require package-level proof, not upstream version comparison alone. [S1]</w:t>
      </w:r>
    </w:p>
    <w:p>
      <w:pPr>
        <w:pStyle w:val="SmallNote"/>
      </w:pPr>
      <w:r>
        <w:t>Companion script: Linux-PHP-Discovery.sh. Validate from service configuration and vendor advisory before assigning a final status.</w:t>
      </w:r>
    </w:p>
    <w:p>
      <w:pPr>
        <w:pStyle w:val="Heading2"/>
      </w:pPr>
      <w:r>
        <w:t>3.3 Containers, orchestrators and PaaS</w:t>
      </w:r>
    </w:p>
    <w:p>
      <w:pPr>
        <w:pStyle w:val="CodeLine"/>
      </w:pPr>
      <w:r>
        <w:t>docker ps --format '{{.Names}} {{.Image}}'</w:t>
      </w:r>
    </w:p>
    <w:p>
      <w:pPr>
        <w:pStyle w:val="CodeLine"/>
      </w:pPr>
      <w:r>
        <w:t>kubectl get pods -A -o wide   # on authorized clusters only</w:t>
      </w:r>
    </w:p>
    <w:p>
      <w:r>
        <w:t>Inspect Dockerfiles, pinned base image digests, container contents, lockfiles, registries and runtime build manifests. A host package update does not change an already built container. Rebuild using fixed sources, redeploy, replace old replicas and verify the running image digest and in-container runtime.</w:t>
      </w:r>
    </w:p>
    <w:p>
      <w:pPr>
        <w:pStyle w:val="Heading2"/>
      </w:pPr>
      <w:r>
        <w:t>3.4 Managed hosting, control panels and appliances</w:t>
      </w:r>
    </w:p>
    <w:p>
      <w:r>
        <w:t>For cPanel/WHM, inventory each EasyApache PHP handler and panel version; cPanel publishes distinct fixed package/version identifiers. Older EA-PHP and third-party extended lifecycle packages need vendor-specific checks. For Plesk, verify the PHP runtimes shipped with Plesk and the panel’s own components according to its current notice. For CloudLinux and other vendors, obtain explicit package identifiers and release notes. [S4-S5]</w:t>
      </w:r>
    </w:p>
    <w:p>
      <w:r>
        <w:t>For hosted websites and embedded appliances, request from the provider: affected product and build, installation scope, package/version or backport evidence, deployment UTC, worker restart/reload confirmation, and any known compromise indicators. A generic “we are aware” notice does not close the record.</w:t>
      </w:r>
    </w:p>
    <w:p>
      <w:pPr>
        <w:pStyle w:val="Heading1"/>
      </w:pPr>
      <w:r>
        <w:t>4. Classify risk and establish remediation order</w:t>
      </w:r>
    </w:p>
    <w:p>
      <w:r>
        <w:t>Use these operational categories, not as a replacement for CVSS. Document internet exposure, deployment method, exploit prerequisites, application function, access to secrets/data, privilege level, tenant reach and ability to isolate.</w:t>
      </w:r>
    </w:p>
    <w:tbl>
      <w:tblPr>
        <w:tblW w:type="auto" w:w="0"/>
        <w:jc w:val="center"/>
        <w:tblLayout w:type="fixed"/>
        <w:tblLook w:firstColumn="1" w:firstRow="1" w:lastColumn="0" w:lastRow="0" w:noHBand="0" w:noVBand="1" w:val="04A0"/>
      </w:tblPr>
      <w:tblGrid>
        <w:gridCol w:w="1195"/>
        <w:gridCol w:w="5328"/>
        <w:gridCol w:w="3341"/>
      </w:tblGrid>
      <w:tr>
        <w:trPr>
          <w:tblHeader w:val="true"/>
        </w:trPr>
        <w:tc>
          <w:tcPr>
            <w:tcW w:type="dxa" w:w="3283"/>
            <w:shd w:fill="E7EFF2"/>
            <w:tcMar>
              <w:top w:w="110" w:type="dxa"/>
              <w:start w:w="105" w:type="dxa"/>
              <w:bottom w:w="110" w:type="dxa"/>
              <w:end w:w="105" w:type="dxa"/>
            </w:tcMar>
          </w:tcPr>
          <w:p>
            <w:r>
              <w:rPr>
                <w:b/>
                <w:color w:val="173044"/>
                <w:sz w:val="16"/>
              </w:rPr>
              <w:t>Priority</w:t>
            </w:r>
          </w:p>
        </w:tc>
        <w:tc>
          <w:tcPr>
            <w:tcW w:type="dxa" w:w="3283"/>
            <w:shd w:fill="E7EFF2"/>
            <w:tcMar>
              <w:top w:w="110" w:type="dxa"/>
              <w:start w:w="105" w:type="dxa"/>
              <w:bottom w:w="110" w:type="dxa"/>
              <w:end w:w="105" w:type="dxa"/>
            </w:tcMar>
          </w:tcPr>
          <w:p>
            <w:r>
              <w:rPr>
                <w:b/>
                <w:color w:val="173044"/>
                <w:sz w:val="16"/>
              </w:rPr>
              <w:t>Decision rule</w:t>
            </w:r>
          </w:p>
        </w:tc>
        <w:tc>
          <w:tcPr>
            <w:tcW w:type="dxa" w:w="3283"/>
            <w:shd w:fill="E7EFF2"/>
            <w:tcMar>
              <w:top w:w="110" w:type="dxa"/>
              <w:start w:w="105" w:type="dxa"/>
              <w:bottom w:w="110" w:type="dxa"/>
              <w:end w:w="105" w:type="dxa"/>
            </w:tcMar>
          </w:tcPr>
          <w:p>
            <w:r>
              <w:rPr>
                <w:b/>
                <w:color w:val="173044"/>
                <w:sz w:val="16"/>
              </w:rPr>
              <w:t>Required action</w:t>
            </w:r>
          </w:p>
        </w:tc>
      </w:tr>
      <w:tr>
        <w:tc>
          <w:tcPr>
            <w:tcW w:type="dxa" w:w="1195"/>
            <w:tcMar>
              <w:top w:w="85" w:type="dxa"/>
              <w:start w:w="105" w:type="dxa"/>
              <w:bottom w:w="80" w:type="dxa"/>
              <w:end w:w="100" w:type="dxa"/>
            </w:tcMar>
            <w:vAlign w:val="center"/>
          </w:tcPr>
          <w:p>
            <w:pPr>
              <w:spacing w:after="0"/>
            </w:pPr>
            <w:r>
              <w:rPr>
                <w:sz w:val="16"/>
              </w:rPr>
              <w:t>P0</w:t>
            </w:r>
          </w:p>
        </w:tc>
        <w:tc>
          <w:tcPr>
            <w:tcW w:type="dxa" w:w="5328"/>
            <w:tcMar>
              <w:top w:w="85" w:type="dxa"/>
              <w:start w:w="105" w:type="dxa"/>
              <w:bottom w:w="80" w:type="dxa"/>
              <w:end w:w="100" w:type="dxa"/>
            </w:tcMar>
            <w:vAlign w:val="center"/>
          </w:tcPr>
          <w:p>
            <w:pPr>
              <w:spacing w:after="0"/>
            </w:pPr>
            <w:r>
              <w:rPr>
                <w:sz w:val="16"/>
              </w:rPr>
              <w:t>Unpatched internet-facing web-serving PHP; especially Apache mod_php or high-impact shared infrastructure.</w:t>
            </w:r>
          </w:p>
        </w:tc>
        <w:tc>
          <w:tcPr>
            <w:tcW w:type="dxa" w:w="3341"/>
            <w:tcMar>
              <w:top w:w="85" w:type="dxa"/>
              <w:start w:w="105" w:type="dxa"/>
              <w:bottom w:w="80" w:type="dxa"/>
              <w:end w:w="100" w:type="dxa"/>
            </w:tcMar>
            <w:vAlign w:val="center"/>
          </w:tcPr>
          <w:p>
            <w:pPr>
              <w:spacing w:after="0"/>
            </w:pPr>
            <w:r>
              <w:rPr>
                <w:sz w:val="16"/>
              </w:rPr>
              <w:t>Patch or isolate immediately under emergency change authority. Initiate focused hunt.</w:t>
            </w:r>
          </w:p>
        </w:tc>
      </w:tr>
      <w:tr>
        <w:tc>
          <w:tcPr>
            <w:tcW w:type="dxa" w:w="1195"/>
            <w:tcMar>
              <w:top w:w="85" w:type="dxa"/>
              <w:start w:w="105" w:type="dxa"/>
              <w:bottom w:w="80" w:type="dxa"/>
              <w:end w:w="100" w:type="dxa"/>
            </w:tcMar>
            <w:vAlign w:val="center"/>
          </w:tcPr>
          <w:p>
            <w:pPr>
              <w:spacing w:after="0"/>
            </w:pPr>
            <w:r>
              <w:rPr>
                <w:sz w:val="16"/>
              </w:rPr>
              <w:t>P1</w:t>
            </w:r>
          </w:p>
        </w:tc>
        <w:tc>
          <w:tcPr>
            <w:tcW w:type="dxa" w:w="5328"/>
            <w:tcMar>
              <w:top w:w="85" w:type="dxa"/>
              <w:start w:w="105" w:type="dxa"/>
              <w:bottom w:w="80" w:type="dxa"/>
              <w:end w:w="100" w:type="dxa"/>
            </w:tcMar>
            <w:vAlign w:val="center"/>
          </w:tcPr>
          <w:p>
            <w:pPr>
              <w:spacing w:after="0"/>
            </w:pPr>
            <w:r>
              <w:rPr>
                <w:sz w:val="16"/>
              </w:rPr>
              <w:t>Unpatched web-serving PHP behind VPN, partner connectivity, broad internal access or high-value data.</w:t>
            </w:r>
          </w:p>
        </w:tc>
        <w:tc>
          <w:tcPr>
            <w:tcW w:type="dxa" w:w="3341"/>
            <w:tcMar>
              <w:top w:w="85" w:type="dxa"/>
              <w:start w:w="105" w:type="dxa"/>
              <w:bottom w:w="80" w:type="dxa"/>
              <w:end w:w="100" w:type="dxa"/>
            </w:tcMar>
            <w:vAlign w:val="center"/>
          </w:tcPr>
          <w:p>
            <w:pPr>
              <w:spacing w:after="0"/>
            </w:pPr>
            <w:r>
              <w:rPr>
                <w:sz w:val="16"/>
              </w:rPr>
              <w:t>Expedited change; reduce reachability and inspect logs.</w:t>
            </w:r>
          </w:p>
        </w:tc>
      </w:tr>
      <w:tr>
        <w:tc>
          <w:tcPr>
            <w:tcW w:type="dxa" w:w="1195"/>
            <w:tcMar>
              <w:top w:w="85" w:type="dxa"/>
              <w:start w:w="105" w:type="dxa"/>
              <w:bottom w:w="80" w:type="dxa"/>
              <w:end w:w="100" w:type="dxa"/>
            </w:tcMar>
            <w:vAlign w:val="center"/>
          </w:tcPr>
          <w:p>
            <w:pPr>
              <w:spacing w:after="0"/>
            </w:pPr>
            <w:r>
              <w:rPr>
                <w:sz w:val="16"/>
              </w:rPr>
              <w:t>P2</w:t>
            </w:r>
          </w:p>
        </w:tc>
        <w:tc>
          <w:tcPr>
            <w:tcW w:type="dxa" w:w="5328"/>
            <w:tcMar>
              <w:top w:w="85" w:type="dxa"/>
              <w:start w:w="105" w:type="dxa"/>
              <w:bottom w:w="80" w:type="dxa"/>
              <w:end w:w="100" w:type="dxa"/>
            </w:tcMar>
            <w:vAlign w:val="center"/>
          </w:tcPr>
          <w:p>
            <w:pPr>
              <w:spacing w:after="0"/>
            </w:pPr>
            <w:r>
              <w:rPr>
                <w:sz w:val="16"/>
              </w:rPr>
              <w:t>Restricted internal web service or non-production runtime with credible untrusted request path.</w:t>
            </w:r>
          </w:p>
        </w:tc>
        <w:tc>
          <w:tcPr>
            <w:tcW w:type="dxa" w:w="3341"/>
            <w:tcMar>
              <w:top w:w="85" w:type="dxa"/>
              <w:start w:w="105" w:type="dxa"/>
              <w:bottom w:w="80" w:type="dxa"/>
              <w:end w:w="100" w:type="dxa"/>
            </w:tcMar>
            <w:vAlign w:val="center"/>
          </w:tcPr>
          <w:p>
            <w:pPr>
              <w:spacing w:after="0"/>
            </w:pPr>
            <w:r>
              <w:rPr>
                <w:sz w:val="16"/>
              </w:rPr>
              <w:t>Schedule urgent patch and verify access boundary.</w:t>
            </w:r>
          </w:p>
        </w:tc>
      </w:tr>
      <w:tr>
        <w:tc>
          <w:tcPr>
            <w:tcW w:type="dxa" w:w="1195"/>
            <w:tcMar>
              <w:top w:w="85" w:type="dxa"/>
              <w:start w:w="105" w:type="dxa"/>
              <w:bottom w:w="80" w:type="dxa"/>
              <w:end w:w="100" w:type="dxa"/>
            </w:tcMar>
            <w:vAlign w:val="center"/>
          </w:tcPr>
          <w:p>
            <w:pPr>
              <w:spacing w:after="0"/>
            </w:pPr>
            <w:r>
              <w:rPr>
                <w:sz w:val="16"/>
              </w:rPr>
              <w:t>P3</w:t>
            </w:r>
          </w:p>
        </w:tc>
        <w:tc>
          <w:tcPr>
            <w:tcW w:type="dxa" w:w="5328"/>
            <w:tcMar>
              <w:top w:w="85" w:type="dxa"/>
              <w:start w:w="105" w:type="dxa"/>
              <w:bottom w:w="80" w:type="dxa"/>
              <w:end w:w="100" w:type="dxa"/>
            </w:tcMar>
            <w:vAlign w:val="center"/>
          </w:tcPr>
          <w:p>
            <w:pPr>
              <w:spacing w:after="0"/>
            </w:pPr>
            <w:r>
              <w:rPr>
                <w:sz w:val="16"/>
              </w:rPr>
              <w:t>CLI-only PHP used for known local tasks with no web-serving SAPI or untrusted input path.</w:t>
            </w:r>
          </w:p>
        </w:tc>
        <w:tc>
          <w:tcPr>
            <w:tcW w:type="dxa" w:w="3341"/>
            <w:tcMar>
              <w:top w:w="85" w:type="dxa"/>
              <w:start w:w="105" w:type="dxa"/>
              <w:bottom w:w="80" w:type="dxa"/>
              <w:end w:w="100" w:type="dxa"/>
            </w:tcMar>
            <w:vAlign w:val="center"/>
          </w:tcPr>
          <w:p>
            <w:pPr>
              <w:spacing w:after="0"/>
            </w:pPr>
            <w:r>
              <w:rPr>
                <w:sz w:val="16"/>
              </w:rPr>
              <w:t>Patch under expedited process; assess execution context.</w:t>
            </w:r>
          </w:p>
        </w:tc>
      </w:tr>
      <w:tr>
        <w:tc>
          <w:tcPr>
            <w:tcW w:type="dxa" w:w="1195"/>
            <w:tcMar>
              <w:top w:w="85" w:type="dxa"/>
              <w:start w:w="105" w:type="dxa"/>
              <w:bottom w:w="80" w:type="dxa"/>
              <w:end w:w="100" w:type="dxa"/>
            </w:tcMar>
            <w:vAlign w:val="center"/>
          </w:tcPr>
          <w:p>
            <w:pPr>
              <w:spacing w:after="0"/>
            </w:pPr>
            <w:r>
              <w:rPr>
                <w:sz w:val="16"/>
              </w:rPr>
              <w:t>UNKNOWN</w:t>
            </w:r>
          </w:p>
        </w:tc>
        <w:tc>
          <w:tcPr>
            <w:tcW w:type="dxa" w:w="5328"/>
            <w:tcMar>
              <w:top w:w="85" w:type="dxa"/>
              <w:start w:w="105" w:type="dxa"/>
              <w:bottom w:w="80" w:type="dxa"/>
              <w:end w:w="100" w:type="dxa"/>
            </w:tcMar>
            <w:vAlign w:val="center"/>
          </w:tcPr>
          <w:p>
            <w:pPr>
              <w:spacing w:after="0"/>
            </w:pPr>
            <w:r>
              <w:rPr>
                <w:sz w:val="16"/>
              </w:rPr>
              <w:t>Version, actual runtime, scope or vendor patch status cannot be established.</w:t>
            </w:r>
          </w:p>
        </w:tc>
        <w:tc>
          <w:tcPr>
            <w:tcW w:type="dxa" w:w="3341"/>
            <w:tcMar>
              <w:top w:w="85" w:type="dxa"/>
              <w:start w:w="105" w:type="dxa"/>
              <w:bottom w:w="80" w:type="dxa"/>
              <w:end w:w="100" w:type="dxa"/>
            </w:tcMar>
            <w:vAlign w:val="center"/>
          </w:tcPr>
          <w:p>
            <w:pPr>
              <w:spacing w:after="0"/>
            </w:pPr>
            <w:r>
              <w:rPr>
                <w:sz w:val="16"/>
              </w:rPr>
              <w:t>Keep open, assign owner and deadline; do not label unaffected.</w:t>
            </w:r>
          </w:p>
        </w:tc>
      </w:tr>
    </w:tbl>
    <w:p>
      <w:pPr>
        <w:spacing w:after="0"/>
      </w:pPr>
    </w:p>
    <w:p>
      <w:r>
        <w:t>Highest confidence is not always highest priority. An exposed app with uncertain software inventory is an urgent discovery problem. Risk can rise further if the web worker accesses customer databases, API secrets, network shares, backup systems or adjacent tenants.</w:t>
      </w:r>
    </w:p>
    <w:p>
      <w:pPr>
        <w:pStyle w:val="Heading1"/>
      </w:pPr>
      <w:r>
        <w:t>5. Remediate safely</w:t>
      </w:r>
    </w:p>
    <w:p>
      <w:pPr>
        <w:pStyle w:val="Heading2"/>
      </w:pPr>
      <w:r>
        <w:t>5.1 Patch selection and provenance</w:t>
      </w:r>
    </w:p>
    <w:p>
      <w:pPr>
        <w:spacing w:after="60"/>
        <w:ind w:left="288" w:hanging="259"/>
      </w:pPr>
      <w:r>
        <w:t>1.  Obtain packages from the official PHP project, OS distribution or supported product vendor. Avoid unauthenticated third-party mirrors and unreviewed public fixes.</w:t>
      </w:r>
    </w:p>
    <w:p>
      <w:pPr>
        <w:spacing w:after="60"/>
        <w:ind w:left="288" w:hanging="259"/>
      </w:pPr>
      <w:r>
        <w:t>2.  For upstream PHP, use at least 8.2.35, 8.3.36, 8.4.27 or 8.5.12 on the respective branch. For older versions, move to a supported branch or verify that the vendor supplied fixes for both CVEs. [S1]</w:t>
      </w:r>
    </w:p>
    <w:p>
      <w:pPr>
        <w:spacing w:after="60"/>
        <w:ind w:left="288" w:hanging="259"/>
      </w:pPr>
      <w:r>
        <w:t>3.  Confirm application prerequisites: extensions, TS/NTS builds on Windows, PHP-FPM pool settings, opcache, INI hierarchy, web-server modules, runtime image base, application tests and rollback package.</w:t>
      </w:r>
    </w:p>
    <w:p>
      <w:pPr>
        <w:spacing w:after="60"/>
        <w:ind w:left="288" w:hanging="259"/>
      </w:pPr>
      <w:r>
        <w:t>4.  Take backups or snapshots according to the customer change policy. Preserve important evidence before rebooting if compromise is suspected.</w:t>
      </w:r>
    </w:p>
    <w:p>
      <w:pPr>
        <w:spacing w:after="60"/>
        <w:ind w:left="288" w:hanging="259"/>
      </w:pPr>
      <w:r>
        <w:t>5.  Apply patch with approved change tooling; restart or replace ALL affected workers/containers; validate actual web-serving runtime and functionality.</w:t>
      </w:r>
    </w:p>
    <w:p>
      <w:pPr>
        <w:spacing w:after="60"/>
        <w:ind w:left="288" w:hanging="259"/>
      </w:pPr>
      <w:r>
        <w:t>6.  Record installed package ID or file build, worker restart time, functional-test output and a second-party verification result.</w:t>
      </w:r>
    </w:p>
    <w:p>
      <w:pPr>
        <w:pStyle w:val="Heading2"/>
      </w:pPr>
      <w:r>
        <w:t>5.2 Interim measures when patching is blocked</w:t>
      </w:r>
    </w:p>
    <w:p>
      <w:r>
        <w:t>PHP states that no generic configuration mitigation fully fixes these vulnerabilities. Prefer temporary service isolation or tightly restricting inbound access. WAF protections are supplemental; verify deployment state, matched traffic, bypass conditions and potential false positives. Cloudflare has reported observed attack traffic against customers, but WAF blocks alone do not prove successful compromise. [S1, S6]</w:t>
      </w:r>
    </w:p>
    <w:p>
      <w:r>
        <w:t>PHP’s published temporary guidance includes administratively setting memory_limit=-1 for the OOM path, reducing post_max_size, enforcing decoded request limits, disabling session.upload_progress.enabled, and for PHP 8.5 disabling fatal_error_backtraces. All require careful validation. memory_limit=-1 can increase process or host exhaustion risk; use only after informed operational review and additional resource controls. Do not substitute RLIMIT_AS or RLIMIT_DATA for this purpose. These settings do not equal patched status. [S1-S3]</w:t>
      </w:r>
    </w:p>
    <w:p>
      <w:r>
        <w:t>Exception owner must approve affected application, business impact, interim control, test result, evidence, expiration date, escalation trigger and planned permanent remediation. Label such systems TEMPORARILY MITIGATED, never PATCHED.</w:t>
      </w:r>
    </w:p>
    <w:p>
      <w:pPr>
        <w:pStyle w:val="Heading1"/>
      </w:pPr>
      <w:r>
        <w:t>6. Verify the actual serving runtime and restore service</w:t>
      </w:r>
    </w:p>
    <w:p>
      <w:pPr>
        <w:pStyle w:val="Heading2"/>
      </w:pPr>
      <w:r>
        <w:t>6.1 Mandatory verification sequence</w:t>
      </w:r>
    </w:p>
    <w:p>
      <w:pPr>
        <w:spacing w:after="60"/>
        <w:ind w:left="288" w:hanging="259"/>
      </w:pPr>
      <w:r>
        <w:t>1.  Re-run package/binary inventory with exact path and vendor release identity. Verify both CVEs appear in vendor fix documentation.</w:t>
      </w:r>
    </w:p>
    <w:p>
      <w:pPr>
        <w:spacing w:after="60"/>
        <w:ind w:left="288" w:hanging="259"/>
      </w:pPr>
      <w:r>
        <w:t>2.  Map the application request handler to its PHP binary, module, pool or container. Checking “php -v” alone is not enough.</w:t>
      </w:r>
    </w:p>
    <w:p>
      <w:pPr>
        <w:spacing w:after="60"/>
        <w:ind w:left="288" w:hanging="259"/>
      </w:pPr>
      <w:r>
        <w:t>3.  Confirm every old PHP worker/process was stopped or replaced. Check old container replicas, scheduled app pools, long-lived FPM workers and stale module loads.</w:t>
      </w:r>
    </w:p>
    <w:p>
      <w:pPr>
        <w:spacing w:after="60"/>
        <w:ind w:left="288" w:hanging="259"/>
      </w:pPr>
      <w:r>
        <w:t>4.  Confirm approved PHP INI and extensions load, and test critical application routes. Check login, data access, uploads, APIs, scheduled jobs and error logs as applicable.</w:t>
      </w:r>
    </w:p>
    <w:p>
      <w:pPr>
        <w:spacing w:after="60"/>
        <w:ind w:left="288" w:hanging="259"/>
      </w:pPr>
      <w:r>
        <w:t>5.  Verify access restrictions/WAF remain enabled and no emergency rule broadens access unexpectedly.</w:t>
      </w:r>
    </w:p>
    <w:p>
      <w:pPr>
        <w:spacing w:after="60"/>
        <w:ind w:left="288" w:hanging="259"/>
      </w:pPr>
      <w:r>
        <w:t>6.  Collect independent review evidence. A successful package install without a serving-runtime check is PATCHED - UNVERIFIED.</w:t>
      </w:r>
    </w:p>
    <w:p>
      <w:pPr>
        <w:pStyle w:val="Heading2"/>
      </w:pPr>
      <w:r>
        <w:t>6.2 Evidence bundle</w:t>
      </w:r>
    </w:p>
    <w:tbl>
      <w:tblPr>
        <w:tblW w:type="auto" w:w="0"/>
        <w:jc w:val="center"/>
        <w:tblLayout w:type="fixed"/>
        <w:tblLook w:firstColumn="1" w:firstRow="1" w:lastColumn="0" w:lastRow="0" w:noHBand="0" w:noVBand="1" w:val="04A0"/>
      </w:tblPr>
      <w:tblGrid>
        <w:gridCol w:w="3211"/>
        <w:gridCol w:w="3312"/>
        <w:gridCol w:w="3341"/>
      </w:tblGrid>
      <w:tr>
        <w:trPr>
          <w:tblHeader w:val="true"/>
        </w:trPr>
        <w:tc>
          <w:tcPr>
            <w:tcW w:type="dxa" w:w="3283"/>
            <w:shd w:fill="E7EFF2"/>
            <w:tcMar>
              <w:top w:w="110" w:type="dxa"/>
              <w:start w:w="105" w:type="dxa"/>
              <w:bottom w:w="110" w:type="dxa"/>
              <w:end w:w="105" w:type="dxa"/>
            </w:tcMar>
          </w:tcPr>
          <w:p>
            <w:r>
              <w:rPr>
                <w:b/>
                <w:color w:val="173044"/>
                <w:sz w:val="16"/>
              </w:rPr>
              <w:t>Before</w:t>
            </w:r>
          </w:p>
        </w:tc>
        <w:tc>
          <w:tcPr>
            <w:tcW w:type="dxa" w:w="3283"/>
            <w:shd w:fill="E7EFF2"/>
            <w:tcMar>
              <w:top w:w="110" w:type="dxa"/>
              <w:start w:w="105" w:type="dxa"/>
              <w:bottom w:w="110" w:type="dxa"/>
              <w:end w:w="105" w:type="dxa"/>
            </w:tcMar>
          </w:tcPr>
          <w:p>
            <w:r>
              <w:rPr>
                <w:b/>
                <w:color w:val="173044"/>
                <w:sz w:val="16"/>
              </w:rPr>
              <w:t>After</w:t>
            </w:r>
          </w:p>
        </w:tc>
        <w:tc>
          <w:tcPr>
            <w:tcW w:type="dxa" w:w="3283"/>
            <w:shd w:fill="E7EFF2"/>
            <w:tcMar>
              <w:top w:w="110" w:type="dxa"/>
              <w:start w:w="105" w:type="dxa"/>
              <w:bottom w:w="110" w:type="dxa"/>
              <w:end w:w="105" w:type="dxa"/>
            </w:tcMar>
          </w:tcPr>
          <w:p>
            <w:r>
              <w:rPr>
                <w:b/>
                <w:color w:val="173044"/>
                <w:sz w:val="16"/>
              </w:rPr>
              <w:t>Security / business disposition</w:t>
            </w:r>
          </w:p>
        </w:tc>
      </w:tr>
      <w:tr>
        <w:tc>
          <w:tcPr>
            <w:tcW w:type="dxa" w:w="3211"/>
            <w:tcMar>
              <w:top w:w="85" w:type="dxa"/>
              <w:start w:w="105" w:type="dxa"/>
              <w:bottom w:w="80" w:type="dxa"/>
              <w:end w:w="100" w:type="dxa"/>
            </w:tcMar>
            <w:vAlign w:val="center"/>
          </w:tcPr>
          <w:p>
            <w:pPr>
              <w:spacing w:after="0"/>
            </w:pPr>
            <w:r>
              <w:rPr>
                <w:sz w:val="16"/>
              </w:rPr>
              <w:t>Host, runtime, version, SAPI, exposure and timestamp.</w:t>
            </w:r>
          </w:p>
        </w:tc>
        <w:tc>
          <w:tcPr>
            <w:tcW w:type="dxa" w:w="3312"/>
            <w:tcMar>
              <w:top w:w="85" w:type="dxa"/>
              <w:start w:w="105" w:type="dxa"/>
              <w:bottom w:w="80" w:type="dxa"/>
              <w:end w:w="100" w:type="dxa"/>
            </w:tcMar>
            <w:vAlign w:val="center"/>
          </w:tcPr>
          <w:p>
            <w:pPr>
              <w:spacing w:after="0"/>
            </w:pPr>
            <w:r>
              <w:rPr>
                <w:sz w:val="16"/>
              </w:rPr>
              <w:t>Patched package or version; active worker/image proof; restart timestamp.</w:t>
            </w:r>
          </w:p>
        </w:tc>
        <w:tc>
          <w:tcPr>
            <w:tcW w:type="dxa" w:w="3341"/>
            <w:tcMar>
              <w:top w:w="85" w:type="dxa"/>
              <w:start w:w="105" w:type="dxa"/>
              <w:bottom w:w="80" w:type="dxa"/>
              <w:end w:w="100" w:type="dxa"/>
            </w:tcMar>
            <w:vAlign w:val="center"/>
          </w:tcPr>
          <w:p>
            <w:pPr>
              <w:spacing w:after="0"/>
            </w:pPr>
            <w:r>
              <w:rPr>
                <w:sz w:val="16"/>
              </w:rPr>
              <w:t>Compromise hunt scope and outcome.</w:t>
            </w:r>
          </w:p>
        </w:tc>
      </w:tr>
      <w:tr>
        <w:tc>
          <w:tcPr>
            <w:tcW w:type="dxa" w:w="3211"/>
            <w:tcMar>
              <w:top w:w="85" w:type="dxa"/>
              <w:start w:w="105" w:type="dxa"/>
              <w:bottom w:w="80" w:type="dxa"/>
              <w:end w:w="100" w:type="dxa"/>
            </w:tcMar>
            <w:vAlign w:val="center"/>
          </w:tcPr>
          <w:p>
            <w:pPr>
              <w:spacing w:after="0"/>
            </w:pPr>
            <w:r>
              <w:rPr>
                <w:sz w:val="16"/>
              </w:rPr>
              <w:t>Change approval and backup/rollback method.</w:t>
            </w:r>
          </w:p>
        </w:tc>
        <w:tc>
          <w:tcPr>
            <w:tcW w:type="dxa" w:w="3312"/>
            <w:tcMar>
              <w:top w:w="85" w:type="dxa"/>
              <w:start w:w="105" w:type="dxa"/>
              <w:bottom w:w="80" w:type="dxa"/>
              <w:end w:w="100" w:type="dxa"/>
            </w:tcMar>
            <w:vAlign w:val="center"/>
          </w:tcPr>
          <w:p>
            <w:pPr>
              <w:spacing w:after="0"/>
            </w:pPr>
            <w:r>
              <w:rPr>
                <w:sz w:val="16"/>
              </w:rPr>
              <w:t>Application test outputs and observed availability.</w:t>
            </w:r>
          </w:p>
        </w:tc>
        <w:tc>
          <w:tcPr>
            <w:tcW w:type="dxa" w:w="3341"/>
            <w:tcMar>
              <w:top w:w="85" w:type="dxa"/>
              <w:start w:w="105" w:type="dxa"/>
              <w:bottom w:w="80" w:type="dxa"/>
              <w:end w:w="100" w:type="dxa"/>
            </w:tcMar>
            <w:vAlign w:val="center"/>
          </w:tcPr>
          <w:p>
            <w:pPr>
              <w:spacing w:after="0"/>
            </w:pPr>
            <w:r>
              <w:rPr>
                <w:sz w:val="16"/>
              </w:rPr>
              <w:t>Customer approval or exception and notice.</w:t>
            </w:r>
          </w:p>
        </w:tc>
      </w:tr>
      <w:tr>
        <w:tc>
          <w:tcPr>
            <w:tcW w:type="dxa" w:w="3211"/>
            <w:tcMar>
              <w:top w:w="85" w:type="dxa"/>
              <w:start w:w="105" w:type="dxa"/>
              <w:bottom w:w="80" w:type="dxa"/>
              <w:end w:w="100" w:type="dxa"/>
            </w:tcMar>
            <w:vAlign w:val="center"/>
          </w:tcPr>
          <w:p>
            <w:pPr>
              <w:spacing w:after="0"/>
            </w:pPr>
            <w:r>
              <w:rPr>
                <w:sz w:val="16"/>
              </w:rPr>
              <w:t>Provider advisory and package identification.</w:t>
            </w:r>
          </w:p>
        </w:tc>
        <w:tc>
          <w:tcPr>
            <w:tcW w:type="dxa" w:w="3312"/>
            <w:tcMar>
              <w:top w:w="85" w:type="dxa"/>
              <w:start w:w="105" w:type="dxa"/>
              <w:bottom w:w="80" w:type="dxa"/>
              <w:end w:w="100" w:type="dxa"/>
            </w:tcMar>
            <w:vAlign w:val="center"/>
          </w:tcPr>
          <w:p>
            <w:pPr>
              <w:spacing w:after="0"/>
            </w:pPr>
            <w:r>
              <w:rPr>
                <w:sz w:val="16"/>
              </w:rPr>
              <w:t>Reviewer identity and UTC verification time.</w:t>
            </w:r>
          </w:p>
        </w:tc>
        <w:tc>
          <w:tcPr>
            <w:tcW w:type="dxa" w:w="3341"/>
            <w:tcMar>
              <w:top w:w="85" w:type="dxa"/>
              <w:start w:w="105" w:type="dxa"/>
              <w:bottom w:w="80" w:type="dxa"/>
              <w:end w:w="100" w:type="dxa"/>
            </w:tcMar>
            <w:vAlign w:val="center"/>
          </w:tcPr>
          <w:p>
            <w:pPr>
              <w:spacing w:after="0"/>
            </w:pPr>
            <w:r>
              <w:rPr>
                <w:sz w:val="16"/>
              </w:rPr>
              <w:t>Residual risk, external dependencies and recheck due date.</w:t>
            </w:r>
          </w:p>
        </w:tc>
      </w:tr>
    </w:tbl>
    <w:p>
      <w:pPr>
        <w:spacing w:after="0"/>
      </w:pPr>
    </w:p>
    <w:p>
      <w:r>
        <w:t>Do not expose a public phpinfo() diagnostic page to establish versions. Prefer authorized admin configuration, server-side logs and temporary authenticated checks that are removed immediately afterward.</w:t>
      </w:r>
    </w:p>
    <w:p>
      <w:pPr>
        <w:pStyle w:val="Heading1"/>
      </w:pPr>
      <w:r>
        <w:t>7. Check for attempted or successful exploitation</w:t>
      </w:r>
    </w:p>
    <w:p>
      <w:r>
        <w:t>The threat-hunting track is distinct from patch verification. If there is a credible sign of compromise, coordinate with the response lead before restarting workers, overwriting disk data or destroying volatile evidence. PHP’s stale-worker vulnerability makes process memory potentially relevant. [S2-S3, S8]</w:t>
      </w:r>
    </w:p>
    <w:p>
      <w:pPr>
        <w:pStyle w:val="Heading2"/>
      </w:pPr>
      <w:r>
        <w:t>7.1 Scope and timeline</w:t>
      </w:r>
    </w:p>
    <w:p>
      <w:r>
        <w:t>Begin with the exposure interval for each system. Review at least from the public leak/reporting period around 20 October 2026, and expand backward based on observed anomalies, retention and emerging intelligence. Preserve log time zones, clock skew, collection method and gaps. Public evidence of exploitation attempts is not proof that any particular customer was compromised. [S6-S9]</w:t>
      </w:r>
    </w:p>
    <w:p>
      <w:pPr>
        <w:pStyle w:val="Heading2"/>
      </w:pPr>
      <w:r>
        <w:t>7.2 Hunt checklist</w:t>
      </w:r>
    </w:p>
    <w:tbl>
      <w:tblPr>
        <w:tblW w:type="auto" w:w="0"/>
        <w:jc w:val="center"/>
        <w:tblLayout w:type="fixed"/>
        <w:tblLook w:firstColumn="1" w:firstRow="1" w:lastColumn="0" w:lastRow="0" w:noHBand="0" w:noVBand="1" w:val="04A0"/>
      </w:tblPr>
      <w:tblGrid>
        <w:gridCol w:w="2232"/>
        <w:gridCol w:w="4680"/>
        <w:gridCol w:w="2952"/>
      </w:tblGrid>
      <w:tr>
        <w:trPr>
          <w:tblHeader w:val="true"/>
        </w:trPr>
        <w:tc>
          <w:tcPr>
            <w:tcW w:type="dxa" w:w="3283"/>
            <w:shd w:fill="E7EFF2"/>
            <w:tcMar>
              <w:top w:w="110" w:type="dxa"/>
              <w:start w:w="105" w:type="dxa"/>
              <w:bottom w:w="110" w:type="dxa"/>
              <w:end w:w="105" w:type="dxa"/>
            </w:tcMar>
          </w:tcPr>
          <w:p>
            <w:r>
              <w:rPr>
                <w:b/>
                <w:color w:val="173044"/>
                <w:sz w:val="16"/>
              </w:rPr>
              <w:t>Telemetry</w:t>
            </w:r>
          </w:p>
        </w:tc>
        <w:tc>
          <w:tcPr>
            <w:tcW w:type="dxa" w:w="3283"/>
            <w:shd w:fill="E7EFF2"/>
            <w:tcMar>
              <w:top w:w="110" w:type="dxa"/>
              <w:start w:w="105" w:type="dxa"/>
              <w:bottom w:w="110" w:type="dxa"/>
              <w:end w:w="105" w:type="dxa"/>
            </w:tcMar>
          </w:tcPr>
          <w:p>
            <w:r>
              <w:rPr>
                <w:b/>
                <w:color w:val="173044"/>
                <w:sz w:val="16"/>
              </w:rPr>
              <w:t>Investigation hypothesis</w:t>
            </w:r>
          </w:p>
        </w:tc>
        <w:tc>
          <w:tcPr>
            <w:tcW w:type="dxa" w:w="3283"/>
            <w:shd w:fill="E7EFF2"/>
            <w:tcMar>
              <w:top w:w="110" w:type="dxa"/>
              <w:start w:w="105" w:type="dxa"/>
              <w:bottom w:w="110" w:type="dxa"/>
              <w:end w:w="105" w:type="dxa"/>
            </w:tcMar>
          </w:tcPr>
          <w:p>
            <w:r>
              <w:rPr>
                <w:b/>
                <w:color w:val="173044"/>
                <w:sz w:val="16"/>
              </w:rPr>
              <w:t>Caution</w:t>
            </w:r>
          </w:p>
        </w:tc>
      </w:tr>
      <w:tr>
        <w:tc>
          <w:tcPr>
            <w:tcW w:type="dxa" w:w="2232"/>
            <w:tcMar>
              <w:top w:w="85" w:type="dxa"/>
              <w:start w:w="105" w:type="dxa"/>
              <w:bottom w:w="80" w:type="dxa"/>
              <w:end w:w="100" w:type="dxa"/>
            </w:tcMar>
            <w:vAlign w:val="center"/>
          </w:tcPr>
          <w:p>
            <w:pPr>
              <w:spacing w:after="0"/>
            </w:pPr>
            <w:r>
              <w:rPr>
                <w:sz w:val="16"/>
              </w:rPr>
              <w:t>Web/reverse proxy logs</w:t>
            </w:r>
          </w:p>
        </w:tc>
        <w:tc>
          <w:tcPr>
            <w:tcW w:type="dxa" w:w="4680"/>
            <w:tcMar>
              <w:top w:w="85" w:type="dxa"/>
              <w:start w:w="105" w:type="dxa"/>
              <w:bottom w:w="80" w:type="dxa"/>
              <w:end w:w="100" w:type="dxa"/>
            </w:tcMar>
            <w:vAlign w:val="center"/>
          </w:tcPr>
          <w:p>
            <w:pPr>
              <w:spacing w:after="0"/>
            </w:pPr>
            <w:r>
              <w:rPr>
                <w:sz w:val="16"/>
              </w:rPr>
              <w:t>Bursts of POST/multipart activity, excessive fields/parts, missing usable Content-Length, unusual errors.</w:t>
            </w:r>
          </w:p>
        </w:tc>
        <w:tc>
          <w:tcPr>
            <w:tcW w:type="dxa" w:w="2952"/>
            <w:tcMar>
              <w:top w:w="85" w:type="dxa"/>
              <w:start w:w="105" w:type="dxa"/>
              <w:bottom w:w="80" w:type="dxa"/>
              <w:end w:w="100" w:type="dxa"/>
            </w:tcMar>
            <w:vAlign w:val="center"/>
          </w:tcPr>
          <w:p>
            <w:pPr>
              <w:spacing w:after="0"/>
            </w:pPr>
            <w:r>
              <w:rPr>
                <w:sz w:val="16"/>
              </w:rPr>
              <w:t>Patterns may be benign; raw logs may omit critical request body detail.</w:t>
            </w:r>
          </w:p>
        </w:tc>
      </w:tr>
      <w:tr>
        <w:tc>
          <w:tcPr>
            <w:tcW w:type="dxa" w:w="2232"/>
            <w:tcMar>
              <w:top w:w="85" w:type="dxa"/>
              <w:start w:w="105" w:type="dxa"/>
              <w:bottom w:w="80" w:type="dxa"/>
              <w:end w:w="100" w:type="dxa"/>
            </w:tcMar>
            <w:vAlign w:val="center"/>
          </w:tcPr>
          <w:p>
            <w:pPr>
              <w:spacing w:after="0"/>
            </w:pPr>
            <w:r>
              <w:rPr>
                <w:sz w:val="16"/>
              </w:rPr>
              <w:t>PHP / web service logs</w:t>
            </w:r>
          </w:p>
        </w:tc>
        <w:tc>
          <w:tcPr>
            <w:tcW w:type="dxa" w:w="4680"/>
            <w:tcMar>
              <w:top w:w="85" w:type="dxa"/>
              <w:start w:w="105" w:type="dxa"/>
              <w:bottom w:w="80" w:type="dxa"/>
              <w:end w:w="100" w:type="dxa"/>
            </w:tcMar>
            <w:vAlign w:val="center"/>
          </w:tcPr>
          <w:p>
            <w:pPr>
              <w:spacing w:after="0"/>
            </w:pPr>
            <w:r>
              <w:rPr>
                <w:sz w:val="16"/>
              </w:rPr>
              <w:t>Out-of-memory fatals, crashes, worker churn, repeated early warnings or timeouts.</w:t>
            </w:r>
          </w:p>
        </w:tc>
        <w:tc>
          <w:tcPr>
            <w:tcW w:type="dxa" w:w="2952"/>
            <w:tcMar>
              <w:top w:w="85" w:type="dxa"/>
              <w:start w:w="105" w:type="dxa"/>
              <w:bottom w:w="80" w:type="dxa"/>
              <w:end w:w="100" w:type="dxa"/>
            </w:tcMar>
            <w:vAlign w:val="center"/>
          </w:tcPr>
          <w:p>
            <w:pPr>
              <w:spacing w:after="0"/>
            </w:pPr>
            <w:r>
              <w:rPr>
                <w:sz w:val="16"/>
              </w:rPr>
              <w:t>No error does not establish safety.</w:t>
            </w:r>
          </w:p>
        </w:tc>
      </w:tr>
      <w:tr>
        <w:tc>
          <w:tcPr>
            <w:tcW w:type="dxa" w:w="2232"/>
            <w:tcMar>
              <w:top w:w="85" w:type="dxa"/>
              <w:start w:w="105" w:type="dxa"/>
              <w:bottom w:w="80" w:type="dxa"/>
              <w:end w:w="100" w:type="dxa"/>
            </w:tcMar>
            <w:vAlign w:val="center"/>
          </w:tcPr>
          <w:p>
            <w:pPr>
              <w:spacing w:after="0"/>
            </w:pPr>
            <w:r>
              <w:rPr>
                <w:sz w:val="16"/>
              </w:rPr>
              <w:t>EDR / process telemetry</w:t>
            </w:r>
          </w:p>
        </w:tc>
        <w:tc>
          <w:tcPr>
            <w:tcW w:type="dxa" w:w="4680"/>
            <w:tcMar>
              <w:top w:w="85" w:type="dxa"/>
              <w:start w:w="105" w:type="dxa"/>
              <w:bottom w:w="80" w:type="dxa"/>
              <w:end w:w="100" w:type="dxa"/>
            </w:tcMar>
            <w:vAlign w:val="center"/>
          </w:tcPr>
          <w:p>
            <w:pPr>
              <w:spacing w:after="0"/>
            </w:pPr>
            <w:r>
              <w:rPr>
                <w:sz w:val="16"/>
              </w:rPr>
              <w:t>Web worker spawning shells/utilities; abnormal child processes.</w:t>
            </w:r>
          </w:p>
        </w:tc>
        <w:tc>
          <w:tcPr>
            <w:tcW w:type="dxa" w:w="2952"/>
            <w:tcMar>
              <w:top w:w="85" w:type="dxa"/>
              <w:start w:w="105" w:type="dxa"/>
              <w:bottom w:w="80" w:type="dxa"/>
              <w:end w:w="100" w:type="dxa"/>
            </w:tcMar>
            <w:vAlign w:val="center"/>
          </w:tcPr>
          <w:p>
            <w:pPr>
              <w:spacing w:after="0"/>
            </w:pPr>
            <w:r>
              <w:rPr>
                <w:sz w:val="16"/>
              </w:rPr>
              <w:t>Review application maintenance tasks before declaring compromise.</w:t>
            </w:r>
          </w:p>
        </w:tc>
      </w:tr>
      <w:tr>
        <w:tc>
          <w:tcPr>
            <w:tcW w:type="dxa" w:w="2232"/>
            <w:tcMar>
              <w:top w:w="85" w:type="dxa"/>
              <w:start w:w="105" w:type="dxa"/>
              <w:bottom w:w="80" w:type="dxa"/>
              <w:end w:w="100" w:type="dxa"/>
            </w:tcMar>
            <w:vAlign w:val="center"/>
          </w:tcPr>
          <w:p>
            <w:pPr>
              <w:spacing w:after="0"/>
            </w:pPr>
            <w:r>
              <w:rPr>
                <w:sz w:val="16"/>
              </w:rPr>
              <w:t>File/config changes</w:t>
            </w:r>
          </w:p>
        </w:tc>
        <w:tc>
          <w:tcPr>
            <w:tcW w:type="dxa" w:w="4680"/>
            <w:tcMar>
              <w:top w:w="85" w:type="dxa"/>
              <w:start w:w="105" w:type="dxa"/>
              <w:bottom w:w="80" w:type="dxa"/>
              <w:end w:w="100" w:type="dxa"/>
            </w:tcMar>
            <w:vAlign w:val="center"/>
          </w:tcPr>
          <w:p>
            <w:pPr>
              <w:spacing w:after="0"/>
            </w:pPr>
            <w:r>
              <w:rPr>
                <w:sz w:val="16"/>
              </w:rPr>
              <w:t>Unexpected PHP files, session artifacts, auto_prepend_file changes, persistence.</w:t>
            </w:r>
          </w:p>
        </w:tc>
        <w:tc>
          <w:tcPr>
            <w:tcW w:type="dxa" w:w="2952"/>
            <w:tcMar>
              <w:top w:w="85" w:type="dxa"/>
              <w:start w:w="105" w:type="dxa"/>
              <w:bottom w:w="80" w:type="dxa"/>
              <w:end w:w="100" w:type="dxa"/>
            </w:tcMar>
            <w:vAlign w:val="center"/>
          </w:tcPr>
          <w:p>
            <w:pPr>
              <w:spacing w:after="0"/>
            </w:pPr>
            <w:r>
              <w:rPr>
                <w:sz w:val="16"/>
              </w:rPr>
              <w:t>Compare with deployments; preserve hash and timestamp metadata.</w:t>
            </w:r>
          </w:p>
        </w:tc>
      </w:tr>
      <w:tr>
        <w:tc>
          <w:tcPr>
            <w:tcW w:type="dxa" w:w="2232"/>
            <w:tcMar>
              <w:top w:w="85" w:type="dxa"/>
              <w:start w:w="105" w:type="dxa"/>
              <w:bottom w:w="80" w:type="dxa"/>
              <w:end w:w="100" w:type="dxa"/>
            </w:tcMar>
            <w:vAlign w:val="center"/>
          </w:tcPr>
          <w:p>
            <w:pPr>
              <w:spacing w:after="0"/>
            </w:pPr>
            <w:r>
              <w:rPr>
                <w:sz w:val="16"/>
              </w:rPr>
              <w:t>Network / identity</w:t>
            </w:r>
          </w:p>
        </w:tc>
        <w:tc>
          <w:tcPr>
            <w:tcW w:type="dxa" w:w="4680"/>
            <w:tcMar>
              <w:top w:w="85" w:type="dxa"/>
              <w:start w:w="105" w:type="dxa"/>
              <w:bottom w:w="80" w:type="dxa"/>
              <w:end w:w="100" w:type="dxa"/>
            </w:tcMar>
            <w:vAlign w:val="center"/>
          </w:tcPr>
          <w:p>
            <w:pPr>
              <w:spacing w:after="0"/>
            </w:pPr>
            <w:r>
              <w:rPr>
                <w:sz w:val="16"/>
              </w:rPr>
              <w:t>Unusual egress, credential use, lateral access from worker identity.</w:t>
            </w:r>
          </w:p>
        </w:tc>
        <w:tc>
          <w:tcPr>
            <w:tcW w:type="dxa" w:w="2952"/>
            <w:tcMar>
              <w:top w:w="85" w:type="dxa"/>
              <w:start w:w="105" w:type="dxa"/>
              <w:bottom w:w="80" w:type="dxa"/>
              <w:end w:w="100" w:type="dxa"/>
            </w:tcMar>
            <w:vAlign w:val="center"/>
          </w:tcPr>
          <w:p>
            <w:pPr>
              <w:spacing w:after="0"/>
            </w:pPr>
            <w:r>
              <w:rPr>
                <w:sz w:val="16"/>
              </w:rPr>
              <w:t>Correlate with business workflow and account scope.</w:t>
            </w:r>
          </w:p>
        </w:tc>
      </w:tr>
      <w:tr>
        <w:tc>
          <w:tcPr>
            <w:tcW w:type="dxa" w:w="2232"/>
            <w:tcMar>
              <w:top w:w="85" w:type="dxa"/>
              <w:start w:w="105" w:type="dxa"/>
              <w:bottom w:w="80" w:type="dxa"/>
              <w:end w:w="100" w:type="dxa"/>
            </w:tcMar>
            <w:vAlign w:val="center"/>
          </w:tcPr>
          <w:p>
            <w:pPr>
              <w:spacing w:after="0"/>
            </w:pPr>
            <w:r>
              <w:rPr>
                <w:sz w:val="16"/>
              </w:rPr>
              <w:t>WAF / CDN</w:t>
            </w:r>
          </w:p>
        </w:tc>
        <w:tc>
          <w:tcPr>
            <w:tcW w:type="dxa" w:w="4680"/>
            <w:tcMar>
              <w:top w:w="85" w:type="dxa"/>
              <w:start w:w="105" w:type="dxa"/>
              <w:bottom w:w="80" w:type="dxa"/>
              <w:end w:w="100" w:type="dxa"/>
            </w:tcMar>
            <w:vAlign w:val="center"/>
          </w:tcPr>
          <w:p>
            <w:pPr>
              <w:spacing w:after="0"/>
            </w:pPr>
            <w:r>
              <w:rPr>
                <w:sz w:val="16"/>
              </w:rPr>
              <w:t>Matching php2shell protection rules, action, origin response and source context.</w:t>
            </w:r>
          </w:p>
        </w:tc>
        <w:tc>
          <w:tcPr>
            <w:tcW w:type="dxa" w:w="2952"/>
            <w:tcMar>
              <w:top w:w="85" w:type="dxa"/>
              <w:start w:w="105" w:type="dxa"/>
              <w:bottom w:w="80" w:type="dxa"/>
              <w:end w:w="100" w:type="dxa"/>
            </w:tcMar>
            <w:vAlign w:val="center"/>
          </w:tcPr>
          <w:p>
            <w:pPr>
              <w:spacing w:after="0"/>
            </w:pPr>
            <w:r>
              <w:rPr>
                <w:sz w:val="16"/>
              </w:rPr>
              <w:t>WAF detection is a lead, not a confirmed exploit.</w:t>
            </w:r>
          </w:p>
        </w:tc>
      </w:tr>
    </w:tbl>
    <w:p>
      <w:pPr>
        <w:spacing w:after="0"/>
      </w:pPr>
    </w:p>
    <w:p>
      <w:pPr>
        <w:pStyle w:val="Heading2"/>
      </w:pPr>
      <w:r>
        <w:t>7.3 Escalation trigger</w:t>
      </w:r>
    </w:p>
    <w:p>
      <w:r>
        <w:t>Escalate promptly when available evidence suggests web-worker code execution, persistence, credential or data access, or credible unexplained post-exploit behavior. Open an IR case and preserve process, disk and log evidence under the organization’s evidence-handling policy. Contain first in coordination with the customer. Then scope lateral movement, secrets and databases, determine legal/insurance notification requirements with counsel, and rebuild from trusted sources when integrity cannot be demonstrated.</w:t>
      </w:r>
    </w:p>
    <w:p>
      <w:pPr>
        <w:pStyle w:val="Heading1"/>
      </w:pPr>
      <w:r>
        <w:t>8. Communicate with customers and third parties</w:t>
      </w:r>
    </w:p>
    <w:p>
      <w:pPr>
        <w:pStyle w:val="Heading2"/>
      </w:pPr>
      <w:r>
        <w:t>8.1 Required communication cadence</w:t>
      </w:r>
    </w:p>
    <w:p>
      <w:r>
        <w:t>Send an initial notice to affected or potentially affected customers with what is known, what is under assessment, which business decisions may be needed, who owns third-party providers, and the next update time. Use a different message when exposure is verified absent versus still unknown.</w:t>
      </w:r>
    </w:p>
    <w:p>
      <w:pPr>
        <w:pStyle w:val="Heading2"/>
      </w:pPr>
      <w:r>
        <w:t>8.2 Initial customer advisory - adaptable text</w:t>
      </w:r>
    </w:p>
    <w:p>
      <w:r>
        <w:t>We are evaluating the newly disclosed PHP2Shell vulnerabilities (CVE-2026-109618 and CVE-2026-109619) across services within our agreed management scope. We are prioritizing exposed PHP applications and confirming patch status with applicable hosting and software providers. This notice is an exposure assessment, not a statement that your systems were compromised. We will provide a customer-specific status and any required approvals or business-impact decisions by [UTC date/time].</w:t>
      </w:r>
    </w:p>
    <w:p>
      <w:pPr>
        <w:pStyle w:val="Heading2"/>
      </w:pPr>
      <w:r>
        <w:t>8.3 Third-party provider request - adaptable text</w:t>
      </w:r>
    </w:p>
    <w:p>
      <w:r>
        <w:t>Please confirm if [service/product and version] uses an affected PHP runtime, which PHP deployment method is involved, the fixed package/version or vendor backport addressing BOTH CVEs, the deployment completion time, and how active workers were replaced. Provide a supporting advisory/change reference and any evidence of observed attempted or successful exploitation in our tenant. If remediation is pending, provide interim exposure controls and a committed update time.</w:t>
      </w:r>
    </w:p>
    <w:p>
      <w:pPr>
        <w:pStyle w:val="Heading2"/>
      </w:pPr>
      <w:r>
        <w:t>8.4 Closure notice - adaptable text</w:t>
      </w:r>
    </w:p>
    <w:p>
      <w:r>
        <w:t>Assessment for [customer/scope] is complete as of [UTC date/time]. We evaluated [count] in-scope assets and [count] third-party dependencies. [Count] vulnerable installations were verified remediated, [count] have approved exceptions and [count] remain under vendor investigation. We performed the compromise review described in [report reference]; no assessment can guarantee that no historic exploitation occurred. Outstanding actions, owners and dates appear in the attached register.</w:t>
      </w:r>
    </w:p>
    <w:p>
      <w:r>
        <w:t>Customer communication must avoid statements like “fully safe,” “not exploited” or “all systems protected” without corresponding evidence and an expressly defined scope. Clearly identify third-party assertions that the MSP has not independently confirmed.</w:t>
      </w:r>
    </w:p>
    <w:p>
      <w:pPr>
        <w:pStyle w:val="Heading1"/>
      </w:pPr>
      <w:r>
        <w:t>9. Track, report and close</w:t>
      </w:r>
    </w:p>
    <w:p>
      <w:pPr>
        <w:pStyle w:val="Heading2"/>
      </w:pPr>
      <w:r>
        <w:t>9.1 Exclusive working status values</w:t>
      </w:r>
    </w:p>
    <w:tbl>
      <w:tblPr>
        <w:tblW w:type="auto" w:w="0"/>
        <w:jc w:val="center"/>
        <w:tblLayout w:type="fixed"/>
        <w:tblLook w:firstColumn="1" w:firstRow="1" w:lastColumn="0" w:lastRow="0" w:noHBand="0" w:noVBand="1" w:val="04A0"/>
      </w:tblPr>
      <w:tblGrid>
        <w:gridCol w:w="2880"/>
        <w:gridCol w:w="6984"/>
      </w:tblGrid>
      <w:tr>
        <w:trPr>
          <w:tblHeader w:val="true"/>
        </w:trPr>
        <w:tc>
          <w:tcPr>
            <w:tcW w:type="dxa" w:w="4925"/>
            <w:shd w:fill="E7EFF2"/>
            <w:tcMar>
              <w:top w:w="110" w:type="dxa"/>
              <w:start w:w="105" w:type="dxa"/>
              <w:bottom w:w="110" w:type="dxa"/>
              <w:end w:w="105" w:type="dxa"/>
            </w:tcMar>
          </w:tcPr>
          <w:p>
            <w:r>
              <w:rPr>
                <w:b/>
                <w:color w:val="173044"/>
                <w:sz w:val="16"/>
              </w:rPr>
              <w:t>Status</w:t>
            </w:r>
          </w:p>
        </w:tc>
        <w:tc>
          <w:tcPr>
            <w:tcW w:type="dxa" w:w="4925"/>
            <w:shd w:fill="E7EFF2"/>
            <w:tcMar>
              <w:top w:w="110" w:type="dxa"/>
              <w:start w:w="105" w:type="dxa"/>
              <w:bottom w:w="110" w:type="dxa"/>
              <w:end w:w="105" w:type="dxa"/>
            </w:tcMar>
          </w:tcPr>
          <w:p>
            <w:r>
              <w:rPr>
                <w:b/>
                <w:color w:val="173044"/>
                <w:sz w:val="16"/>
              </w:rPr>
              <w:t>Meaning</w:t>
            </w:r>
          </w:p>
        </w:tc>
      </w:tr>
      <w:tr>
        <w:tc>
          <w:tcPr>
            <w:tcW w:type="dxa" w:w="2880"/>
            <w:tcMar>
              <w:top w:w="85" w:type="dxa"/>
              <w:start w:w="105" w:type="dxa"/>
              <w:bottom w:w="80" w:type="dxa"/>
              <w:end w:w="100" w:type="dxa"/>
            </w:tcMar>
            <w:vAlign w:val="center"/>
          </w:tcPr>
          <w:p>
            <w:pPr>
              <w:spacing w:after="0"/>
            </w:pPr>
            <w:r>
              <w:rPr>
                <w:sz w:val="16"/>
              </w:rPr>
              <w:t>NOT EVALUATED</w:t>
            </w:r>
          </w:p>
        </w:tc>
        <w:tc>
          <w:tcPr>
            <w:tcW w:type="dxa" w:w="6984"/>
            <w:tcMar>
              <w:top w:w="85" w:type="dxa"/>
              <w:start w:w="105" w:type="dxa"/>
              <w:bottom w:w="80" w:type="dxa"/>
              <w:end w:w="100" w:type="dxa"/>
            </w:tcMar>
            <w:vAlign w:val="center"/>
          </w:tcPr>
          <w:p>
            <w:pPr>
              <w:spacing w:after="0"/>
            </w:pPr>
            <w:r>
              <w:rPr>
                <w:sz w:val="16"/>
              </w:rPr>
              <w:t>Asset or customer scope identified but evidence review not started.</w:t>
            </w:r>
          </w:p>
        </w:tc>
      </w:tr>
      <w:tr>
        <w:tc>
          <w:tcPr>
            <w:tcW w:type="dxa" w:w="2880"/>
            <w:tcMar>
              <w:top w:w="85" w:type="dxa"/>
              <w:start w:w="105" w:type="dxa"/>
              <w:bottom w:w="80" w:type="dxa"/>
              <w:end w:w="100" w:type="dxa"/>
            </w:tcMar>
            <w:vAlign w:val="center"/>
          </w:tcPr>
          <w:p>
            <w:pPr>
              <w:spacing w:after="0"/>
            </w:pPr>
            <w:r>
              <w:rPr>
                <w:sz w:val="16"/>
              </w:rPr>
              <w:t>UNKNOWN</w:t>
            </w:r>
          </w:p>
        </w:tc>
        <w:tc>
          <w:tcPr>
            <w:tcW w:type="dxa" w:w="6984"/>
            <w:tcMar>
              <w:top w:w="85" w:type="dxa"/>
              <w:start w:w="105" w:type="dxa"/>
              <w:bottom w:w="80" w:type="dxa"/>
              <w:end w:w="100" w:type="dxa"/>
            </w:tcMar>
            <w:vAlign w:val="center"/>
          </w:tcPr>
          <w:p>
            <w:pPr>
              <w:spacing w:after="0"/>
            </w:pPr>
            <w:r>
              <w:rPr>
                <w:sz w:val="16"/>
              </w:rPr>
              <w:t>Assessment attempted; insufficient evidence, missing permissions or missing provider confirmation.</w:t>
            </w:r>
          </w:p>
        </w:tc>
      </w:tr>
      <w:tr>
        <w:tc>
          <w:tcPr>
            <w:tcW w:type="dxa" w:w="2880"/>
            <w:tcMar>
              <w:top w:w="85" w:type="dxa"/>
              <w:start w:w="105" w:type="dxa"/>
              <w:bottom w:w="80" w:type="dxa"/>
              <w:end w:w="100" w:type="dxa"/>
            </w:tcMar>
            <w:vAlign w:val="center"/>
          </w:tcPr>
          <w:p>
            <w:pPr>
              <w:spacing w:after="0"/>
            </w:pPr>
            <w:r>
              <w:rPr>
                <w:sz w:val="16"/>
              </w:rPr>
              <w:t>NOT AFFECTED - VERIFIED</w:t>
            </w:r>
          </w:p>
        </w:tc>
        <w:tc>
          <w:tcPr>
            <w:tcW w:type="dxa" w:w="6984"/>
            <w:tcMar>
              <w:top w:w="85" w:type="dxa"/>
              <w:start w:w="105" w:type="dxa"/>
              <w:bottom w:w="80" w:type="dxa"/>
              <w:end w:w="100" w:type="dxa"/>
            </w:tcMar>
            <w:vAlign w:val="center"/>
          </w:tcPr>
          <w:p>
            <w:pPr>
              <w:spacing w:after="0"/>
            </w:pPr>
            <w:r>
              <w:rPr>
                <w:sz w:val="16"/>
              </w:rPr>
              <w:t>No relevant PHP exposure, or authoritative fixed vendor package evidence, within defined scope.</w:t>
            </w:r>
          </w:p>
        </w:tc>
      </w:tr>
      <w:tr>
        <w:tc>
          <w:tcPr>
            <w:tcW w:type="dxa" w:w="2880"/>
            <w:tcMar>
              <w:top w:w="85" w:type="dxa"/>
              <w:start w:w="105" w:type="dxa"/>
              <w:bottom w:w="80" w:type="dxa"/>
              <w:end w:w="100" w:type="dxa"/>
            </w:tcMar>
            <w:vAlign w:val="center"/>
          </w:tcPr>
          <w:p>
            <w:pPr>
              <w:spacing w:after="0"/>
            </w:pPr>
            <w:r>
              <w:rPr>
                <w:sz w:val="16"/>
              </w:rPr>
              <w:t>VULNERABLE</w:t>
            </w:r>
          </w:p>
        </w:tc>
        <w:tc>
          <w:tcPr>
            <w:tcW w:type="dxa" w:w="6984"/>
            <w:tcMar>
              <w:top w:w="85" w:type="dxa"/>
              <w:start w:w="105" w:type="dxa"/>
              <w:bottom w:w="80" w:type="dxa"/>
              <w:end w:w="100" w:type="dxa"/>
            </w:tcMar>
            <w:vAlign w:val="center"/>
          </w:tcPr>
          <w:p>
            <w:pPr>
              <w:spacing w:after="0"/>
            </w:pPr>
            <w:r>
              <w:rPr>
                <w:sz w:val="16"/>
              </w:rPr>
              <w:t>Unpatched affected serving runtime confirmed.</w:t>
            </w:r>
          </w:p>
        </w:tc>
      </w:tr>
      <w:tr>
        <w:tc>
          <w:tcPr>
            <w:tcW w:type="dxa" w:w="2880"/>
            <w:tcMar>
              <w:top w:w="85" w:type="dxa"/>
              <w:start w:w="105" w:type="dxa"/>
              <w:bottom w:w="80" w:type="dxa"/>
              <w:end w:w="100" w:type="dxa"/>
            </w:tcMar>
            <w:vAlign w:val="center"/>
          </w:tcPr>
          <w:p>
            <w:pPr>
              <w:spacing w:after="0"/>
            </w:pPr>
            <w:r>
              <w:rPr>
                <w:sz w:val="16"/>
              </w:rPr>
              <w:t>TEMPORARILY MITIGATED</w:t>
            </w:r>
          </w:p>
        </w:tc>
        <w:tc>
          <w:tcPr>
            <w:tcW w:type="dxa" w:w="6984"/>
            <w:tcMar>
              <w:top w:w="85" w:type="dxa"/>
              <w:start w:w="105" w:type="dxa"/>
              <w:bottom w:w="80" w:type="dxa"/>
              <w:end w:w="100" w:type="dxa"/>
            </w:tcMar>
            <w:vAlign w:val="center"/>
          </w:tcPr>
          <w:p>
            <w:pPr>
              <w:spacing w:after="0"/>
            </w:pPr>
            <w:r>
              <w:rPr>
                <w:sz w:val="16"/>
              </w:rPr>
              <w:t>Interim control applied; complete patch still required.</w:t>
            </w:r>
          </w:p>
        </w:tc>
      </w:tr>
      <w:tr>
        <w:tc>
          <w:tcPr>
            <w:tcW w:type="dxa" w:w="2880"/>
            <w:tcMar>
              <w:top w:w="85" w:type="dxa"/>
              <w:start w:w="105" w:type="dxa"/>
              <w:bottom w:w="80" w:type="dxa"/>
              <w:end w:w="100" w:type="dxa"/>
            </w:tcMar>
            <w:vAlign w:val="center"/>
          </w:tcPr>
          <w:p>
            <w:pPr>
              <w:spacing w:after="0"/>
            </w:pPr>
            <w:r>
              <w:rPr>
                <w:sz w:val="16"/>
              </w:rPr>
              <w:t>PATCHED - UNVERIFIED</w:t>
            </w:r>
          </w:p>
        </w:tc>
        <w:tc>
          <w:tcPr>
            <w:tcW w:type="dxa" w:w="6984"/>
            <w:tcMar>
              <w:top w:w="85" w:type="dxa"/>
              <w:start w:w="105" w:type="dxa"/>
              <w:bottom w:w="80" w:type="dxa"/>
              <w:end w:w="100" w:type="dxa"/>
            </w:tcMar>
            <w:vAlign w:val="center"/>
          </w:tcPr>
          <w:p>
            <w:pPr>
              <w:spacing w:after="0"/>
            </w:pPr>
            <w:r>
              <w:rPr>
                <w:sz w:val="16"/>
              </w:rPr>
              <w:t>Change reported or installed; serving runtime and validation pending.</w:t>
            </w:r>
          </w:p>
        </w:tc>
      </w:tr>
      <w:tr>
        <w:tc>
          <w:tcPr>
            <w:tcW w:type="dxa" w:w="2880"/>
            <w:tcMar>
              <w:top w:w="85" w:type="dxa"/>
              <w:start w:w="105" w:type="dxa"/>
              <w:bottom w:w="80" w:type="dxa"/>
              <w:end w:w="100" w:type="dxa"/>
            </w:tcMar>
            <w:vAlign w:val="center"/>
          </w:tcPr>
          <w:p>
            <w:pPr>
              <w:spacing w:after="0"/>
            </w:pPr>
            <w:r>
              <w:rPr>
                <w:sz w:val="16"/>
              </w:rPr>
              <w:t>PATCHED - VERIFIED</w:t>
            </w:r>
          </w:p>
        </w:tc>
        <w:tc>
          <w:tcPr>
            <w:tcW w:type="dxa" w:w="6984"/>
            <w:tcMar>
              <w:top w:w="85" w:type="dxa"/>
              <w:start w:w="105" w:type="dxa"/>
              <w:bottom w:w="80" w:type="dxa"/>
              <w:end w:w="100" w:type="dxa"/>
            </w:tcMar>
            <w:vAlign w:val="center"/>
          </w:tcPr>
          <w:p>
            <w:pPr>
              <w:spacing w:after="0"/>
            </w:pPr>
            <w:r>
              <w:rPr>
                <w:sz w:val="16"/>
              </w:rPr>
              <w:t>Correct fix active in serving runtime, workers replaced and tests passed.</w:t>
            </w:r>
          </w:p>
        </w:tc>
      </w:tr>
      <w:tr>
        <w:tc>
          <w:tcPr>
            <w:tcW w:type="dxa" w:w="2880"/>
            <w:tcMar>
              <w:top w:w="85" w:type="dxa"/>
              <w:start w:w="105" w:type="dxa"/>
              <w:bottom w:w="80" w:type="dxa"/>
              <w:end w:w="100" w:type="dxa"/>
            </w:tcMar>
            <w:vAlign w:val="center"/>
          </w:tcPr>
          <w:p>
            <w:pPr>
              <w:spacing w:after="0"/>
            </w:pPr>
            <w:r>
              <w:rPr>
                <w:sz w:val="16"/>
              </w:rPr>
              <w:t>SUSPECTED COMPROMISE</w:t>
            </w:r>
          </w:p>
        </w:tc>
        <w:tc>
          <w:tcPr>
            <w:tcW w:type="dxa" w:w="6984"/>
            <w:tcMar>
              <w:top w:w="85" w:type="dxa"/>
              <w:start w:w="105" w:type="dxa"/>
              <w:bottom w:w="80" w:type="dxa"/>
              <w:end w:w="100" w:type="dxa"/>
            </w:tcMar>
            <w:vAlign w:val="center"/>
          </w:tcPr>
          <w:p>
            <w:pPr>
              <w:spacing w:after="0"/>
            </w:pPr>
            <w:r>
              <w:rPr>
                <w:sz w:val="16"/>
              </w:rPr>
              <w:t>IR investigation opened; do not hide behind patch status.</w:t>
            </w:r>
          </w:p>
        </w:tc>
      </w:tr>
      <w:tr>
        <w:tc>
          <w:tcPr>
            <w:tcW w:type="dxa" w:w="2880"/>
            <w:tcMar>
              <w:top w:w="85" w:type="dxa"/>
              <w:start w:w="105" w:type="dxa"/>
              <w:bottom w:w="80" w:type="dxa"/>
              <w:end w:w="100" w:type="dxa"/>
            </w:tcMar>
            <w:vAlign w:val="center"/>
          </w:tcPr>
          <w:p>
            <w:pPr>
              <w:spacing w:after="0"/>
            </w:pPr>
            <w:r>
              <w:rPr>
                <w:sz w:val="16"/>
              </w:rPr>
              <w:t>EXCEPTION APPROVED</w:t>
            </w:r>
          </w:p>
        </w:tc>
        <w:tc>
          <w:tcPr>
            <w:tcW w:type="dxa" w:w="6984"/>
            <w:tcMar>
              <w:top w:w="85" w:type="dxa"/>
              <w:start w:w="105" w:type="dxa"/>
              <w:bottom w:w="80" w:type="dxa"/>
              <w:end w:w="100" w:type="dxa"/>
            </w:tcMar>
            <w:vAlign w:val="center"/>
          </w:tcPr>
          <w:p>
            <w:pPr>
              <w:spacing w:after="0"/>
            </w:pPr>
            <w:r>
              <w:rPr>
                <w:sz w:val="16"/>
              </w:rPr>
              <w:t>Named customer risk owner approved retained risk, controls and expiry.</w:t>
            </w:r>
          </w:p>
        </w:tc>
      </w:tr>
    </w:tbl>
    <w:p>
      <w:pPr>
        <w:spacing w:after="0"/>
      </w:pPr>
    </w:p>
    <w:p>
      <w:r>
        <w:t>An individual asset can require both a remediation status and a separate compromise-review status. Keep those fields independent. A provider dependency is not “complete” until evidence is adequate or responsibility is formally transferred with customer acknowledgment.</w:t>
      </w:r>
    </w:p>
    <w:p>
      <w:pPr>
        <w:pStyle w:val="Heading2"/>
      </w:pPr>
      <w:r>
        <w:t>9.2 Daily coordinator report</w:t>
      </w:r>
    </w:p>
    <w:p>
      <w:r>
        <w:t>Report customers covered, systems assessed, vulnerable instances, patched-verified, pending vendor, exceptions, unknowns, compromise escalations and next customer decisions. Use denominators that distinguish assessed assets from discovered assets and customers from systems. Report the oldest P0 exposure and unresolved unknowns prominently.</w:t>
      </w:r>
    </w:p>
    <w:p>
      <w:pPr>
        <w:pStyle w:val="Heading2"/>
      </w:pPr>
      <w:r>
        <w:t>9.3 Closure gate</w:t>
      </w:r>
    </w:p>
    <w:p>
      <w:pPr>
        <w:spacing w:after="60"/>
        <w:ind w:left="288" w:hanging="259"/>
      </w:pPr>
      <w:r>
        <w:t>1.  Every customer in scope has received an assessment disposition or explicit bounded limitation.</w:t>
      </w:r>
    </w:p>
    <w:p>
      <w:pPr>
        <w:spacing w:after="60"/>
        <w:ind w:left="288" w:hanging="259"/>
      </w:pPr>
      <w:r>
        <w:t>2.  Every discovered PHP instance has runtime, owner, serving-path evidence and remediation status, or remains in an assigned open-risk register.</w:t>
      </w:r>
    </w:p>
    <w:p>
      <w:pPr>
        <w:spacing w:after="60"/>
        <w:ind w:left="288" w:hanging="259"/>
      </w:pPr>
      <w:r>
        <w:t>3.  Every applicable third-party dependency has vendor response evidence or documented escalation and risk acceptance.</w:t>
      </w:r>
    </w:p>
    <w:p>
      <w:pPr>
        <w:spacing w:after="60"/>
        <w:ind w:left="288" w:hanging="259"/>
      </w:pPr>
      <w:r>
        <w:t>4.  Every patch is verified in the active runtime; all affected workers/images are replaced.</w:t>
      </w:r>
    </w:p>
    <w:p>
      <w:pPr>
        <w:spacing w:after="60"/>
        <w:ind w:left="288" w:hanging="259"/>
      </w:pPr>
      <w:r>
        <w:t>5.  Every credible compromise lead is investigated or transferred to an incident case with an owner.</w:t>
      </w:r>
    </w:p>
    <w:p>
      <w:pPr>
        <w:spacing w:after="60"/>
        <w:ind w:left="288" w:hanging="259"/>
      </w:pPr>
      <w:r>
        <w:t>6.  Final customer notice and internal after-action review are recorded. Recheck later vendor advisories and missed discovery leads.</w:t>
      </w:r>
    </w:p>
    <w:p>
      <w:pPr>
        <w:pStyle w:val="Heading1"/>
      </w:pPr>
      <w:r>
        <w:t>10. Runbook for exceptions, failures and disagreements</w:t>
      </w:r>
    </w:p>
    <w:p>
      <w:pPr>
        <w:pStyle w:val="Heading2"/>
      </w:pPr>
      <w:r>
        <w:t>Provider will not confirm patch status</w:t>
      </w:r>
    </w:p>
    <w:p>
      <w:r>
        <w:t>Record UNKNOWN, request vendor package and timestamp, escalate through customer owner, and consider compensating access restrictions or migration. Do not mark “not affected” based on silence.</w:t>
      </w:r>
    </w:p>
    <w:p>
      <w:pPr>
        <w:pStyle w:val="Heading2"/>
      </w:pPr>
      <w:r>
        <w:t>Application breaks after patch</w:t>
      </w:r>
    </w:p>
    <w:p>
      <w:r>
        <w:t>Invoke the approved rollback and outage process; preserve logs; document service restoration; isolate the vulnerable service if rolled back. Do not silently leave it exposed after restoring service.</w:t>
      </w:r>
    </w:p>
    <w:p>
      <w:pPr>
        <w:pStyle w:val="Heading2"/>
      </w:pPr>
      <w:r>
        <w:t>Conflicting version results</w:t>
      </w:r>
    </w:p>
    <w:p>
      <w:r>
        <w:t>Reconcile CLI PHP, front-end handler, active worker executable/module, multiple FPM pools, container tags/digests and control-panel-selected version. Record each rather than choosing the newest result.</w:t>
      </w:r>
    </w:p>
    <w:p>
      <w:pPr>
        <w:pStyle w:val="Heading2"/>
      </w:pPr>
      <w:r>
        <w:t>Possible compromise discovered during change</w:t>
      </w:r>
    </w:p>
    <w:p>
      <w:r>
        <w:t>Pause destructive remediation long enough for the incident-response lead to preserve relevant evidence. Make containment and customer notification decisions under the IR process, then patch or rebuild under directed response.</w:t>
      </w:r>
    </w:p>
    <w:p>
      <w:pPr>
        <w:pStyle w:val="Heading2"/>
      </w:pPr>
      <w:r>
        <w:t>Customer refuses downtime</w:t>
      </w:r>
    </w:p>
    <w:p>
      <w:r>
        <w:t>Present patch, restricted-access, temporary suspension and formally accepted risk options. Record who accepted residual risk and when it expires. Never equate a business exception with a fixed system.</w:t>
      </w:r>
    </w:p>
    <w:p>
      <w:pPr>
        <w:pStyle w:val="Heading1"/>
      </w:pPr>
      <w:r>
        <w:t>Appendix A. One-page technician field checklist</w:t>
      </w:r>
    </w:p>
    <w:p>
      <w:pPr>
        <w:pStyle w:val="Heading2"/>
      </w:pPr>
      <w:r>
        <w:t>Discover</w:t>
      </w:r>
    </w:p>
    <w:p>
      <w:pPr>
        <w:pStyle w:val="ListBullet"/>
      </w:pPr>
      <w:r>
        <w:t>[  ]  Customer and asset ID</w:t>
      </w:r>
    </w:p>
    <w:p>
      <w:pPr>
        <w:pStyle w:val="ListBullet"/>
      </w:pPr>
      <w:r>
        <w:t>[  ]  Application owner and business function</w:t>
      </w:r>
    </w:p>
    <w:p>
      <w:pPr>
        <w:pStyle w:val="ListBullet"/>
      </w:pPr>
      <w:r>
        <w:t>[  ]  All runtime paths and versions</w:t>
      </w:r>
    </w:p>
    <w:p>
      <w:pPr>
        <w:pStyle w:val="ListBullet"/>
      </w:pPr>
      <w:r>
        <w:t>[  ]  Serving SAPI/worker/image</w:t>
      </w:r>
    </w:p>
    <w:p>
      <w:pPr>
        <w:pStyle w:val="ListBullet"/>
      </w:pPr>
      <w:r>
        <w:t>[  ]  Exposure: internet / internal / localhost / CLI</w:t>
      </w:r>
    </w:p>
    <w:p>
      <w:pPr>
        <w:pStyle w:val="ListBullet"/>
      </w:pPr>
      <w:r>
        <w:t>[  ]  Vendor or hosting dependencies</w:t>
      </w:r>
    </w:p>
    <w:p>
      <w:pPr>
        <w:pStyle w:val="Heading2"/>
      </w:pPr>
      <w:r>
        <w:t>Remediate</w:t>
      </w:r>
    </w:p>
    <w:p>
      <w:pPr>
        <w:pStyle w:val="ListBullet"/>
      </w:pPr>
      <w:r>
        <w:t>[  ]  Fixed upstream or documented backported package</w:t>
      </w:r>
    </w:p>
    <w:p>
      <w:pPr>
        <w:pStyle w:val="ListBullet"/>
      </w:pPr>
      <w:r>
        <w:t>[  ]  Change approval and rollback plan</w:t>
      </w:r>
    </w:p>
    <w:p>
      <w:pPr>
        <w:pStyle w:val="ListBullet"/>
      </w:pPr>
      <w:r>
        <w:t>[  ]  If IR concern, preserve evidence first</w:t>
      </w:r>
    </w:p>
    <w:p>
      <w:pPr>
        <w:pStyle w:val="ListBullet"/>
      </w:pPr>
      <w:r>
        <w:t>[  ]  Update all instances and replace workers</w:t>
      </w:r>
    </w:p>
    <w:p>
      <w:pPr>
        <w:pStyle w:val="ListBullet"/>
      </w:pPr>
      <w:r>
        <w:t>[  ]  Validate functionality and access controls</w:t>
      </w:r>
    </w:p>
    <w:p>
      <w:pPr>
        <w:pStyle w:val="Heading2"/>
      </w:pPr>
      <w:r>
        <w:t>Verify and close</w:t>
      </w:r>
    </w:p>
    <w:p>
      <w:pPr>
        <w:pStyle w:val="ListBullet"/>
      </w:pPr>
      <w:r>
        <w:t>[  ]  Serving-runtime proof</w:t>
      </w:r>
    </w:p>
    <w:p>
      <w:pPr>
        <w:pStyle w:val="ListBullet"/>
      </w:pPr>
      <w:r>
        <w:t>[  ]  Security telemetry and compromise disposition</w:t>
      </w:r>
    </w:p>
    <w:p>
      <w:pPr>
        <w:pStyle w:val="ListBullet"/>
      </w:pPr>
      <w:r>
        <w:t>[  ]  UTC timestamp and reviewer</w:t>
      </w:r>
    </w:p>
    <w:p>
      <w:pPr>
        <w:pStyle w:val="ListBullet"/>
      </w:pPr>
      <w:r>
        <w:t>[  ]  Customer notice</w:t>
      </w:r>
    </w:p>
    <w:p>
      <w:pPr>
        <w:pStyle w:val="ListBullet"/>
      </w:pPr>
      <w:r>
        <w:t>[  ]  Open vendor items/exceptions with owner and date</w:t>
      </w:r>
    </w:p>
    <w:p>
      <w:pPr>
        <w:pStyle w:val="Heading1"/>
      </w:pPr>
      <w:r>
        <w:t>Appendix B. Platform verification quick reference</w:t>
      </w:r>
    </w:p>
    <w:tbl>
      <w:tblPr>
        <w:tblW w:type="auto" w:w="0"/>
        <w:jc w:val="center"/>
        <w:tblLayout w:type="fixed"/>
        <w:tblLook w:firstColumn="1" w:firstRow="1" w:lastColumn="0" w:lastRow="0" w:noHBand="0" w:noVBand="1" w:val="04A0"/>
      </w:tblPr>
      <w:tblGrid>
        <w:gridCol w:w="2160"/>
        <w:gridCol w:w="4680"/>
        <w:gridCol w:w="3024"/>
      </w:tblGrid>
      <w:tr>
        <w:trPr>
          <w:tblHeader w:val="true"/>
        </w:trPr>
        <w:tc>
          <w:tcPr>
            <w:tcW w:type="dxa" w:w="3283"/>
            <w:shd w:fill="E7EFF2"/>
            <w:tcMar>
              <w:top w:w="110" w:type="dxa"/>
              <w:start w:w="105" w:type="dxa"/>
              <w:bottom w:w="110" w:type="dxa"/>
              <w:end w:w="105" w:type="dxa"/>
            </w:tcMar>
          </w:tcPr>
          <w:p>
            <w:r>
              <w:rPr>
                <w:b/>
                <w:color w:val="173044"/>
                <w:sz w:val="16"/>
              </w:rPr>
              <w:t>Platform</w:t>
            </w:r>
          </w:p>
        </w:tc>
        <w:tc>
          <w:tcPr>
            <w:tcW w:type="dxa" w:w="3283"/>
            <w:shd w:fill="E7EFF2"/>
            <w:tcMar>
              <w:top w:w="110" w:type="dxa"/>
              <w:start w:w="105" w:type="dxa"/>
              <w:bottom w:w="110" w:type="dxa"/>
              <w:end w:w="105" w:type="dxa"/>
            </w:tcMar>
          </w:tcPr>
          <w:p>
            <w:r>
              <w:rPr>
                <w:b/>
                <w:color w:val="173044"/>
                <w:sz w:val="16"/>
              </w:rPr>
              <w:t>Inventory / validation emphasis</w:t>
            </w:r>
          </w:p>
        </w:tc>
        <w:tc>
          <w:tcPr>
            <w:tcW w:type="dxa" w:w="3283"/>
            <w:shd w:fill="E7EFF2"/>
            <w:tcMar>
              <w:top w:w="110" w:type="dxa"/>
              <w:start w:w="105" w:type="dxa"/>
              <w:bottom w:w="110" w:type="dxa"/>
              <w:end w:w="105" w:type="dxa"/>
            </w:tcMar>
          </w:tcPr>
          <w:p>
            <w:r>
              <w:rPr>
                <w:b/>
                <w:color w:val="173044"/>
                <w:sz w:val="16"/>
              </w:rPr>
              <w:t>Evidence to keep</w:t>
            </w:r>
          </w:p>
        </w:tc>
      </w:tr>
      <w:tr>
        <w:tc>
          <w:tcPr>
            <w:tcW w:type="dxa" w:w="2160"/>
            <w:tcMar>
              <w:top w:w="85" w:type="dxa"/>
              <w:start w:w="105" w:type="dxa"/>
              <w:bottom w:w="80" w:type="dxa"/>
              <w:end w:w="100" w:type="dxa"/>
            </w:tcMar>
            <w:vAlign w:val="center"/>
          </w:tcPr>
          <w:p>
            <w:pPr>
              <w:spacing w:after="0"/>
            </w:pPr>
            <w:r>
              <w:rPr>
                <w:sz w:val="16"/>
              </w:rPr>
              <w:t>Windows / IIS</w:t>
            </w:r>
          </w:p>
        </w:tc>
        <w:tc>
          <w:tcPr>
            <w:tcW w:type="dxa" w:w="4680"/>
            <w:tcMar>
              <w:top w:w="85" w:type="dxa"/>
              <w:start w:w="105" w:type="dxa"/>
              <w:bottom w:w="80" w:type="dxa"/>
              <w:end w:w="100" w:type="dxa"/>
            </w:tcMar>
            <w:vAlign w:val="center"/>
          </w:tcPr>
          <w:p>
            <w:pPr>
              <w:spacing w:after="0"/>
            </w:pPr>
            <w:r>
              <w:rPr>
                <w:sz w:val="16"/>
              </w:rPr>
              <w:t>IIS FastCGI mapping and php-cgi path, TS/NTS compatibility, old process exit, extensions.</w:t>
            </w:r>
          </w:p>
        </w:tc>
        <w:tc>
          <w:tcPr>
            <w:tcW w:type="dxa" w:w="3024"/>
            <w:tcMar>
              <w:top w:w="85" w:type="dxa"/>
              <w:start w:w="105" w:type="dxa"/>
              <w:bottom w:w="80" w:type="dxa"/>
              <w:end w:w="100" w:type="dxa"/>
            </w:tcMar>
            <w:vAlign w:val="center"/>
          </w:tcPr>
          <w:p>
            <w:pPr>
              <w:spacing w:after="0"/>
            </w:pPr>
            <w:r>
              <w:rPr>
                <w:sz w:val="16"/>
              </w:rPr>
              <w:t>Mapping screenshot or config, binary version, worker restart and smoke tests.</w:t>
            </w:r>
          </w:p>
        </w:tc>
      </w:tr>
      <w:tr>
        <w:tc>
          <w:tcPr>
            <w:tcW w:type="dxa" w:w="2160"/>
            <w:tcMar>
              <w:top w:w="85" w:type="dxa"/>
              <w:start w:w="105" w:type="dxa"/>
              <w:bottom w:w="80" w:type="dxa"/>
              <w:end w:w="100" w:type="dxa"/>
            </w:tcMar>
            <w:vAlign w:val="center"/>
          </w:tcPr>
          <w:p>
            <w:pPr>
              <w:spacing w:after="0"/>
            </w:pPr>
            <w:r>
              <w:rPr>
                <w:sz w:val="16"/>
              </w:rPr>
              <w:t>Apache mod_php</w:t>
            </w:r>
          </w:p>
        </w:tc>
        <w:tc>
          <w:tcPr>
            <w:tcW w:type="dxa" w:w="4680"/>
            <w:tcMar>
              <w:top w:w="85" w:type="dxa"/>
              <w:start w:w="105" w:type="dxa"/>
              <w:bottom w:w="80" w:type="dxa"/>
              <w:end w:w="100" w:type="dxa"/>
            </w:tcMar>
            <w:vAlign w:val="center"/>
          </w:tcPr>
          <w:p>
            <w:pPr>
              <w:spacing w:after="0"/>
            </w:pPr>
            <w:r>
              <w:rPr>
                <w:sz w:val="16"/>
              </w:rPr>
              <w:t>Loaded libphp module, package build and httpd graceful/full restart outcome.</w:t>
            </w:r>
          </w:p>
        </w:tc>
        <w:tc>
          <w:tcPr>
            <w:tcW w:type="dxa" w:w="3024"/>
            <w:tcMar>
              <w:top w:w="85" w:type="dxa"/>
              <w:start w:w="105" w:type="dxa"/>
              <w:bottom w:w="80" w:type="dxa"/>
              <w:end w:w="100" w:type="dxa"/>
            </w:tcMar>
            <w:vAlign w:val="center"/>
          </w:tcPr>
          <w:p>
            <w:pPr>
              <w:spacing w:after="0"/>
            </w:pPr>
            <w:r>
              <w:rPr>
                <w:sz w:val="16"/>
              </w:rPr>
              <w:t>mod_php package evidence, active workers and application checks.</w:t>
            </w:r>
          </w:p>
        </w:tc>
      </w:tr>
      <w:tr>
        <w:tc>
          <w:tcPr>
            <w:tcW w:type="dxa" w:w="2160"/>
            <w:tcMar>
              <w:top w:w="85" w:type="dxa"/>
              <w:start w:w="105" w:type="dxa"/>
              <w:bottom w:w="80" w:type="dxa"/>
              <w:end w:w="100" w:type="dxa"/>
            </w:tcMar>
            <w:vAlign w:val="center"/>
          </w:tcPr>
          <w:p>
            <w:pPr>
              <w:spacing w:after="0"/>
            </w:pPr>
            <w:r>
              <w:rPr>
                <w:sz w:val="16"/>
              </w:rPr>
              <w:t>Nginx / FPM</w:t>
            </w:r>
          </w:p>
        </w:tc>
        <w:tc>
          <w:tcPr>
            <w:tcW w:type="dxa" w:w="4680"/>
            <w:tcMar>
              <w:top w:w="85" w:type="dxa"/>
              <w:start w:w="105" w:type="dxa"/>
              <w:bottom w:w="80" w:type="dxa"/>
              <w:end w:w="100" w:type="dxa"/>
            </w:tcMar>
            <w:vAlign w:val="center"/>
          </w:tcPr>
          <w:p>
            <w:pPr>
              <w:spacing w:after="0"/>
            </w:pPr>
            <w:r>
              <w:rPr>
                <w:sz w:val="16"/>
              </w:rPr>
              <w:t>Per-site fastcgi_pass, pool socket/service, pool package and active worker lifetime.</w:t>
            </w:r>
          </w:p>
        </w:tc>
        <w:tc>
          <w:tcPr>
            <w:tcW w:type="dxa" w:w="3024"/>
            <w:tcMar>
              <w:top w:w="85" w:type="dxa"/>
              <w:start w:w="105" w:type="dxa"/>
              <w:bottom w:w="80" w:type="dxa"/>
              <w:end w:w="100" w:type="dxa"/>
            </w:tcMar>
            <w:vAlign w:val="center"/>
          </w:tcPr>
          <w:p>
            <w:pPr>
              <w:spacing w:after="0"/>
            </w:pPr>
            <w:r>
              <w:rPr>
                <w:sz w:val="16"/>
              </w:rPr>
              <w:t>Pool map, PHP-FPM package, restart, route tests.</w:t>
            </w:r>
          </w:p>
        </w:tc>
      </w:tr>
      <w:tr>
        <w:tc>
          <w:tcPr>
            <w:tcW w:type="dxa" w:w="2160"/>
            <w:tcMar>
              <w:top w:w="85" w:type="dxa"/>
              <w:start w:w="105" w:type="dxa"/>
              <w:bottom w:w="80" w:type="dxa"/>
              <w:end w:w="100" w:type="dxa"/>
            </w:tcMar>
            <w:vAlign w:val="center"/>
          </w:tcPr>
          <w:p>
            <w:pPr>
              <w:spacing w:after="0"/>
            </w:pPr>
            <w:r>
              <w:rPr>
                <w:sz w:val="16"/>
              </w:rPr>
              <w:t>cPanel / CloudLinux</w:t>
            </w:r>
          </w:p>
        </w:tc>
        <w:tc>
          <w:tcPr>
            <w:tcW w:type="dxa" w:w="4680"/>
            <w:tcMar>
              <w:top w:w="85" w:type="dxa"/>
              <w:start w:w="105" w:type="dxa"/>
              <w:bottom w:w="80" w:type="dxa"/>
              <w:end w:w="100" w:type="dxa"/>
            </w:tcMar>
            <w:vAlign w:val="center"/>
          </w:tcPr>
          <w:p>
            <w:pPr>
              <w:spacing w:after="0"/>
            </w:pPr>
            <w:r>
              <w:rPr>
                <w:sz w:val="16"/>
              </w:rPr>
              <w:t>Panel build, EA-PHP/ALT-PHP package releases, domain-selected handlers.</w:t>
            </w:r>
          </w:p>
        </w:tc>
        <w:tc>
          <w:tcPr>
            <w:tcW w:type="dxa" w:w="3024"/>
            <w:tcMar>
              <w:top w:w="85" w:type="dxa"/>
              <w:start w:w="105" w:type="dxa"/>
              <w:bottom w:w="80" w:type="dxa"/>
              <w:end w:w="100" w:type="dxa"/>
            </w:tcMar>
            <w:vAlign w:val="center"/>
          </w:tcPr>
          <w:p>
            <w:pPr>
              <w:spacing w:after="0"/>
            </w:pPr>
            <w:r>
              <w:rPr>
                <w:sz w:val="16"/>
              </w:rPr>
              <w:t>Vendor release matrix and package transaction log.</w:t>
            </w:r>
          </w:p>
        </w:tc>
      </w:tr>
      <w:tr>
        <w:tc>
          <w:tcPr>
            <w:tcW w:type="dxa" w:w="2160"/>
            <w:tcMar>
              <w:top w:w="85" w:type="dxa"/>
              <w:start w:w="105" w:type="dxa"/>
              <w:bottom w:w="80" w:type="dxa"/>
              <w:end w:w="100" w:type="dxa"/>
            </w:tcMar>
            <w:vAlign w:val="center"/>
          </w:tcPr>
          <w:p>
            <w:pPr>
              <w:spacing w:after="0"/>
            </w:pPr>
            <w:r>
              <w:rPr>
                <w:sz w:val="16"/>
              </w:rPr>
              <w:t>Plesk</w:t>
            </w:r>
          </w:p>
        </w:tc>
        <w:tc>
          <w:tcPr>
            <w:tcW w:type="dxa" w:w="4680"/>
            <w:tcMar>
              <w:top w:w="85" w:type="dxa"/>
              <w:start w:w="105" w:type="dxa"/>
              <w:bottom w:w="80" w:type="dxa"/>
              <w:end w:w="100" w:type="dxa"/>
            </w:tcMar>
            <w:vAlign w:val="center"/>
          </w:tcPr>
          <w:p>
            <w:pPr>
              <w:spacing w:after="0"/>
            </w:pPr>
            <w:r>
              <w:rPr>
                <w:sz w:val="16"/>
              </w:rPr>
              <w:t>Plesk-shipped PHP handlers and additional Plesk components.</w:t>
            </w:r>
          </w:p>
        </w:tc>
        <w:tc>
          <w:tcPr>
            <w:tcW w:type="dxa" w:w="3024"/>
            <w:tcMar>
              <w:top w:w="85" w:type="dxa"/>
              <w:start w:w="105" w:type="dxa"/>
              <w:bottom w:w="80" w:type="dxa"/>
              <w:end w:w="100" w:type="dxa"/>
            </w:tcMar>
            <w:vAlign w:val="center"/>
          </w:tcPr>
          <w:p>
            <w:pPr>
              <w:spacing w:after="0"/>
            </w:pPr>
            <w:r>
              <w:rPr>
                <w:sz w:val="16"/>
              </w:rPr>
              <w:t>Current Plesk advisory, package identifiers, restart proof.</w:t>
            </w:r>
          </w:p>
        </w:tc>
      </w:tr>
      <w:tr>
        <w:tc>
          <w:tcPr>
            <w:tcW w:type="dxa" w:w="2160"/>
            <w:tcMar>
              <w:top w:w="85" w:type="dxa"/>
              <w:start w:w="105" w:type="dxa"/>
              <w:bottom w:w="80" w:type="dxa"/>
              <w:end w:w="100" w:type="dxa"/>
            </w:tcMar>
            <w:vAlign w:val="center"/>
          </w:tcPr>
          <w:p>
            <w:pPr>
              <w:spacing w:after="0"/>
            </w:pPr>
            <w:r>
              <w:rPr>
                <w:sz w:val="16"/>
              </w:rPr>
              <w:t>Containers / Kubernetes</w:t>
            </w:r>
          </w:p>
        </w:tc>
        <w:tc>
          <w:tcPr>
            <w:tcW w:type="dxa" w:w="4680"/>
            <w:tcMar>
              <w:top w:w="85" w:type="dxa"/>
              <w:start w:w="105" w:type="dxa"/>
              <w:bottom w:w="80" w:type="dxa"/>
              <w:end w:w="100" w:type="dxa"/>
            </w:tcMar>
            <w:vAlign w:val="center"/>
          </w:tcPr>
          <w:p>
            <w:pPr>
              <w:spacing w:after="0"/>
            </w:pPr>
            <w:r>
              <w:rPr>
                <w:sz w:val="16"/>
              </w:rPr>
              <w:t>Image base, registry digest, rebuild pipeline and ALL running replicas.</w:t>
            </w:r>
          </w:p>
        </w:tc>
        <w:tc>
          <w:tcPr>
            <w:tcW w:type="dxa" w:w="3024"/>
            <w:tcMar>
              <w:top w:w="85" w:type="dxa"/>
              <w:start w:w="105" w:type="dxa"/>
              <w:bottom w:w="80" w:type="dxa"/>
              <w:end w:w="100" w:type="dxa"/>
            </w:tcMar>
            <w:vAlign w:val="center"/>
          </w:tcPr>
          <w:p>
            <w:pPr>
              <w:spacing w:after="0"/>
            </w:pPr>
            <w:r>
              <w:rPr>
                <w:sz w:val="16"/>
              </w:rPr>
              <w:t>New digest, rollout status, in-container runtime, app tests.</w:t>
            </w:r>
          </w:p>
        </w:tc>
      </w:tr>
      <w:tr>
        <w:tc>
          <w:tcPr>
            <w:tcW w:type="dxa" w:w="2160"/>
            <w:tcMar>
              <w:top w:w="85" w:type="dxa"/>
              <w:start w:w="105" w:type="dxa"/>
              <w:bottom w:w="80" w:type="dxa"/>
              <w:end w:w="100" w:type="dxa"/>
            </w:tcMar>
            <w:vAlign w:val="center"/>
          </w:tcPr>
          <w:p>
            <w:pPr>
              <w:spacing w:after="0"/>
            </w:pPr>
            <w:r>
              <w:rPr>
                <w:sz w:val="16"/>
              </w:rPr>
              <w:t>Managed website / SaaS</w:t>
            </w:r>
          </w:p>
        </w:tc>
        <w:tc>
          <w:tcPr>
            <w:tcW w:type="dxa" w:w="4680"/>
            <w:tcMar>
              <w:top w:w="85" w:type="dxa"/>
              <w:start w:w="105" w:type="dxa"/>
              <w:bottom w:w="80" w:type="dxa"/>
              <w:end w:w="100" w:type="dxa"/>
            </w:tcMar>
            <w:vAlign w:val="center"/>
          </w:tcPr>
          <w:p>
            <w:pPr>
              <w:spacing w:after="0"/>
            </w:pPr>
            <w:r>
              <w:rPr>
                <w:sz w:val="16"/>
              </w:rPr>
              <w:t>Provider patch statement tied to exact service/tenant and date.</w:t>
            </w:r>
          </w:p>
        </w:tc>
        <w:tc>
          <w:tcPr>
            <w:tcW w:type="dxa" w:w="3024"/>
            <w:tcMar>
              <w:top w:w="85" w:type="dxa"/>
              <w:start w:w="105" w:type="dxa"/>
              <w:bottom w:w="80" w:type="dxa"/>
              <w:end w:w="100" w:type="dxa"/>
            </w:tcMar>
            <w:vAlign w:val="center"/>
          </w:tcPr>
          <w:p>
            <w:pPr>
              <w:spacing w:after="0"/>
            </w:pPr>
            <w:r>
              <w:rPr>
                <w:sz w:val="16"/>
              </w:rPr>
              <w:t>Vendor response, corroborating checks, exception if uncertain.</w:t>
            </w:r>
          </w:p>
        </w:tc>
      </w:tr>
    </w:tbl>
    <w:p>
      <w:pPr>
        <w:spacing w:after="0"/>
      </w:pPr>
    </w:p>
    <w:p>
      <w:pPr>
        <w:pStyle w:val="Heading1"/>
      </w:pPr>
      <w:r>
        <w:t>Appendix C. Master tracker, vendor tracker and decision log</w:t>
      </w:r>
    </w:p>
    <w:p>
      <w:r>
        <w:t>The companion toolkit provides three CSV templates suitable for an RMM export, PSA ticket view or managed workbook. Use a controlled repository and define retention and access rules before putting customer data in it. No customer data is included in the templates.</w:t>
      </w:r>
    </w:p>
    <w:p>
      <w:pPr>
        <w:pStyle w:val="ListBullet"/>
      </w:pPr>
      <w:r>
        <w:t>Customer-Asset-Tracker.csv: asset identity, scope, serving PHP, version, SAPI, evidence, risk, owner, change, verification and compromise review.</w:t>
      </w:r>
    </w:p>
    <w:p>
      <w:pPr>
        <w:pStyle w:val="ListBullet"/>
      </w:pPr>
      <w:r>
        <w:t>Vendor-Dependency-Tracker.csv: product, provider contact, advisory, package/fix confirmation, escalation and follow-up.</w:t>
      </w:r>
    </w:p>
    <w:p>
      <w:pPr>
        <w:pStyle w:val="ListBullet"/>
      </w:pPr>
      <w:r>
        <w:t>Response-Decision-Log.csv: timestamps, options, authorization, residual risk, customer approval and review date.</w:t>
      </w:r>
    </w:p>
    <w:p>
      <w:pPr>
        <w:pStyle w:val="Heading1"/>
      </w:pPr>
      <w:r>
        <w:t>Appendix D. Advisory monitoring and document maintenance</w:t>
      </w:r>
    </w:p>
    <w:p>
      <w:r>
        <w:t>Review the primary security notice daily during the active emergency and whenever material vendor guidance changes. Confirm if the new information affects (1) scope, (2) fixed-package matrix, (3) exploit activity, (4) detections/mitigations, (5) customer communication or (6) evidence requirements. Record each approved revision in a change log.</w:t>
      </w:r>
    </w:p>
    <w:tbl>
      <w:tblPr>
        <w:tblW w:type="auto" w:w="0"/>
        <w:jc w:val="center"/>
        <w:tblLayout w:type="fixed"/>
        <w:tblLook w:firstColumn="1" w:firstRow="1" w:lastColumn="0" w:lastRow="0" w:noHBand="0" w:noVBand="1" w:val="04A0"/>
      </w:tblPr>
      <w:tblGrid>
        <w:gridCol w:w="3240"/>
        <w:gridCol w:w="6624"/>
      </w:tblGrid>
      <w:tr>
        <w:trPr>
          <w:tblHeader w:val="true"/>
        </w:trPr>
        <w:tc>
          <w:tcPr>
            <w:tcW w:type="dxa" w:w="4925"/>
            <w:shd w:fill="E7EFF2"/>
            <w:tcMar>
              <w:top w:w="110" w:type="dxa"/>
              <w:start w:w="105" w:type="dxa"/>
              <w:bottom w:w="110" w:type="dxa"/>
              <w:end w:w="105" w:type="dxa"/>
            </w:tcMar>
          </w:tcPr>
          <w:p>
            <w:r>
              <w:rPr>
                <w:b/>
                <w:color w:val="173044"/>
                <w:sz w:val="16"/>
              </w:rPr>
              <w:t>Trigger</w:t>
            </w:r>
          </w:p>
        </w:tc>
        <w:tc>
          <w:tcPr>
            <w:tcW w:type="dxa" w:w="4925"/>
            <w:shd w:fill="E7EFF2"/>
            <w:tcMar>
              <w:top w:w="110" w:type="dxa"/>
              <w:start w:w="105" w:type="dxa"/>
              <w:bottom w:w="110" w:type="dxa"/>
              <w:end w:w="105" w:type="dxa"/>
            </w:tcMar>
          </w:tcPr>
          <w:p>
            <w:r>
              <w:rPr>
                <w:b/>
                <w:color w:val="173044"/>
                <w:sz w:val="16"/>
              </w:rPr>
              <w:t>Required playbook review</w:t>
            </w:r>
          </w:p>
        </w:tc>
      </w:tr>
      <w:tr>
        <w:tc>
          <w:tcPr>
            <w:tcW w:type="dxa" w:w="3240"/>
            <w:tcMar>
              <w:top w:w="85" w:type="dxa"/>
              <w:start w:w="105" w:type="dxa"/>
              <w:bottom w:w="80" w:type="dxa"/>
              <w:end w:w="100" w:type="dxa"/>
            </w:tcMar>
            <w:vAlign w:val="center"/>
          </w:tcPr>
          <w:p>
            <w:pPr>
              <w:spacing w:after="0"/>
            </w:pPr>
            <w:r>
              <w:rPr>
                <w:sz w:val="16"/>
              </w:rPr>
              <w:t>New fixed/backported package</w:t>
            </w:r>
          </w:p>
        </w:tc>
        <w:tc>
          <w:tcPr>
            <w:tcW w:type="dxa" w:w="6624"/>
            <w:tcMar>
              <w:top w:w="85" w:type="dxa"/>
              <w:start w:w="105" w:type="dxa"/>
              <w:bottom w:w="80" w:type="dxa"/>
              <w:end w:w="100" w:type="dxa"/>
            </w:tcMar>
            <w:vAlign w:val="center"/>
          </w:tcPr>
          <w:p>
            <w:pPr>
              <w:spacing w:after="0"/>
            </w:pPr>
            <w:r>
              <w:rPr>
                <w:sz w:val="16"/>
              </w:rPr>
              <w:t>Update affected-branch table and platform appendix; add provider evidence requirements.</w:t>
            </w:r>
          </w:p>
        </w:tc>
      </w:tr>
      <w:tr>
        <w:tc>
          <w:tcPr>
            <w:tcW w:type="dxa" w:w="3240"/>
            <w:tcMar>
              <w:top w:w="85" w:type="dxa"/>
              <w:start w:w="105" w:type="dxa"/>
              <w:bottom w:w="80" w:type="dxa"/>
              <w:end w:w="100" w:type="dxa"/>
            </w:tcMar>
            <w:vAlign w:val="center"/>
          </w:tcPr>
          <w:p>
            <w:pPr>
              <w:spacing w:after="0"/>
            </w:pPr>
            <w:r>
              <w:rPr>
                <w:sz w:val="16"/>
              </w:rPr>
              <w:t>Confirmed new exploit path or new SAPI impact</w:t>
            </w:r>
          </w:p>
        </w:tc>
        <w:tc>
          <w:tcPr>
            <w:tcW w:type="dxa" w:w="6624"/>
            <w:tcMar>
              <w:top w:w="85" w:type="dxa"/>
              <w:start w:w="105" w:type="dxa"/>
              <w:bottom w:w="80" w:type="dxa"/>
              <w:end w:w="100" w:type="dxa"/>
            </w:tcMar>
            <w:vAlign w:val="center"/>
          </w:tcPr>
          <w:p>
            <w:pPr>
              <w:spacing w:after="0"/>
            </w:pPr>
            <w:r>
              <w:rPr>
                <w:sz w:val="16"/>
              </w:rPr>
              <w:t>Reassess P0/P1, hunt coverage and interim restrictions.</w:t>
            </w:r>
          </w:p>
        </w:tc>
      </w:tr>
      <w:tr>
        <w:tc>
          <w:tcPr>
            <w:tcW w:type="dxa" w:w="3240"/>
            <w:tcMar>
              <w:top w:w="85" w:type="dxa"/>
              <w:start w:w="105" w:type="dxa"/>
              <w:bottom w:w="80" w:type="dxa"/>
              <w:end w:w="100" w:type="dxa"/>
            </w:tcMar>
            <w:vAlign w:val="center"/>
          </w:tcPr>
          <w:p>
            <w:pPr>
              <w:spacing w:after="0"/>
            </w:pPr>
            <w:r>
              <w:rPr>
                <w:sz w:val="16"/>
              </w:rPr>
              <w:t>Observed active exploitation or new IOC</w:t>
            </w:r>
          </w:p>
        </w:tc>
        <w:tc>
          <w:tcPr>
            <w:tcW w:type="dxa" w:w="6624"/>
            <w:tcMar>
              <w:top w:w="85" w:type="dxa"/>
              <w:start w:w="105" w:type="dxa"/>
              <w:bottom w:w="80" w:type="dxa"/>
              <w:end w:w="100" w:type="dxa"/>
            </w:tcMar>
            <w:vAlign w:val="center"/>
          </w:tcPr>
          <w:p>
            <w:pPr>
              <w:spacing w:after="0"/>
            </w:pPr>
            <w:r>
              <w:rPr>
                <w:sz w:val="16"/>
              </w:rPr>
              <w:t>Update hunt checklist, investigation window and customer notification language.</w:t>
            </w:r>
          </w:p>
        </w:tc>
      </w:tr>
      <w:tr>
        <w:tc>
          <w:tcPr>
            <w:tcW w:type="dxa" w:w="3240"/>
            <w:tcMar>
              <w:top w:w="85" w:type="dxa"/>
              <w:start w:w="105" w:type="dxa"/>
              <w:bottom w:w="80" w:type="dxa"/>
              <w:end w:w="100" w:type="dxa"/>
            </w:tcMar>
            <w:vAlign w:val="center"/>
          </w:tcPr>
          <w:p>
            <w:pPr>
              <w:spacing w:after="0"/>
            </w:pPr>
            <w:r>
              <w:rPr>
                <w:sz w:val="16"/>
              </w:rPr>
              <w:t>Mitigation withdrawn or WAF rule changed</w:t>
            </w:r>
          </w:p>
        </w:tc>
        <w:tc>
          <w:tcPr>
            <w:tcW w:type="dxa" w:w="6624"/>
            <w:tcMar>
              <w:top w:w="85" w:type="dxa"/>
              <w:start w:w="105" w:type="dxa"/>
              <w:bottom w:w="80" w:type="dxa"/>
              <w:end w:w="100" w:type="dxa"/>
            </w:tcMar>
            <w:vAlign w:val="center"/>
          </w:tcPr>
          <w:p>
            <w:pPr>
              <w:spacing w:after="0"/>
            </w:pPr>
            <w:r>
              <w:rPr>
                <w:sz w:val="16"/>
              </w:rPr>
              <w:t>Recheck compensating control, exception register and patch urgency.</w:t>
            </w:r>
          </w:p>
        </w:tc>
      </w:tr>
      <w:tr>
        <w:tc>
          <w:tcPr>
            <w:tcW w:type="dxa" w:w="3240"/>
            <w:tcMar>
              <w:top w:w="85" w:type="dxa"/>
              <w:start w:w="105" w:type="dxa"/>
              <w:bottom w:w="80" w:type="dxa"/>
              <w:end w:w="100" w:type="dxa"/>
            </w:tcMar>
            <w:vAlign w:val="center"/>
          </w:tcPr>
          <w:p>
            <w:pPr>
              <w:spacing w:after="0"/>
            </w:pPr>
            <w:r>
              <w:rPr>
                <w:sz w:val="16"/>
              </w:rPr>
              <w:t>New vendor product identified</w:t>
            </w:r>
          </w:p>
        </w:tc>
        <w:tc>
          <w:tcPr>
            <w:tcW w:type="dxa" w:w="6624"/>
            <w:tcMar>
              <w:top w:w="85" w:type="dxa"/>
              <w:start w:w="105" w:type="dxa"/>
              <w:bottom w:w="80" w:type="dxa"/>
              <w:end w:w="100" w:type="dxa"/>
            </w:tcMar>
            <w:vAlign w:val="center"/>
          </w:tcPr>
          <w:p>
            <w:pPr>
              <w:spacing w:after="0"/>
            </w:pPr>
            <w:r>
              <w:rPr>
                <w:sz w:val="16"/>
              </w:rPr>
              <w:t>Expand discovery universe and third-party dependency requests.</w:t>
            </w:r>
          </w:p>
        </w:tc>
      </w:tr>
    </w:tbl>
    <w:p>
      <w:pPr>
        <w:spacing w:after="0"/>
      </w:pPr>
    </w:p>
    <w:p>
      <w:pPr>
        <w:pStyle w:val="Heading1"/>
      </w:pPr>
      <w:r>
        <w:t>Sources and source-status register</w:t>
      </w:r>
    </w:p>
    <w:p>
      <w:r>
        <w:t>This edition was assembled from public advisories available on 21 October 2026. The PHP project and its security advisories are controlling for PHP fixes and mitigations. Vendor pages may update after publication; do not rely on frozen product-version statements.</w:t>
      </w:r>
    </w:p>
    <w:p>
      <w:pPr>
        <w:pStyle w:val="SmallNote"/>
      </w:pPr>
      <w:r>
        <w:rPr>
          <w:b/>
        </w:rPr>
        <w:t xml:space="preserve">[S1] PHP Security Team, Critical remote code execution vulnerabilities, 21 Oct 2026.  </w:t>
      </w:r>
      <w:hyperlink r:id="rId10">
        <w:r>
          <w:rPr>
            <w:color w:val="11666E"/>
            <w:u w:val="single"/>
          </w:rPr>
          <w:t>Source page</w:t>
        </w:r>
      </w:hyperlink>
    </w:p>
    <w:p>
      <w:pPr>
        <w:pStyle w:val="SmallNote"/>
      </w:pPr>
      <w:r>
        <w:rPr>
          <w:b/>
        </w:rPr>
        <w:t xml:space="preserve">[S2] PHP / php-src GHSA-w8hw-w9fx-j79w, RCE via OOM corruption.  </w:t>
      </w:r>
      <w:hyperlink r:id="rId11">
        <w:r>
          <w:rPr>
            <w:color w:val="11666E"/>
            <w:u w:val="single"/>
          </w:rPr>
          <w:t>Source page</w:t>
        </w:r>
      </w:hyperlink>
    </w:p>
    <w:p>
      <w:pPr>
        <w:pStyle w:val="SmallNote"/>
      </w:pPr>
      <w:r>
        <w:rPr>
          <w:b/>
        </w:rPr>
        <w:t xml:space="preserve">[S3] PHP / php-src GHSA-6wmf-4rv5-p3rp, RCE via stale global state.  </w:t>
      </w:r>
      <w:hyperlink r:id="rId12">
        <w:r>
          <w:rPr>
            <w:color w:val="11666E"/>
            <w:u w:val="single"/>
          </w:rPr>
          <w:t>Source page</w:t>
        </w:r>
      </w:hyperlink>
    </w:p>
    <w:p>
      <w:pPr>
        <w:pStyle w:val="SmallNote"/>
      </w:pPr>
      <w:r>
        <w:rPr>
          <w:b/>
        </w:rPr>
        <w:t xml:space="preserve">[S4] cPanel, Critical PHP Security Release.  </w:t>
      </w:r>
      <w:hyperlink r:id="rId13">
        <w:r>
          <w:rPr>
            <w:color w:val="11666E"/>
            <w:u w:val="single"/>
          </w:rPr>
          <w:t>Source page</w:t>
        </w:r>
      </w:hyperlink>
    </w:p>
    <w:p>
      <w:pPr>
        <w:pStyle w:val="SmallNote"/>
      </w:pPr>
      <w:r>
        <w:rPr>
          <w:b/>
        </w:rPr>
        <w:t xml:space="preserve">[S5] Plesk, Remote code execution in PHP shipped with Plesk.  </w:t>
      </w:r>
      <w:hyperlink r:id="rId14">
        <w:r>
          <w:rPr>
            <w:color w:val="11666E"/>
            <w:u w:val="single"/>
          </w:rPr>
          <w:t>Source page</w:t>
        </w:r>
      </w:hyperlink>
    </w:p>
    <w:p>
      <w:pPr>
        <w:pStyle w:val="SmallNote"/>
      </w:pPr>
      <w:r>
        <w:rPr>
          <w:b/>
        </w:rPr>
        <w:t xml:space="preserve">[S6] Cloudflare, Deploys protections against php2shell, 21 Oct 2026.  </w:t>
      </w:r>
      <w:hyperlink r:id="rId15">
        <w:r>
          <w:rPr>
            <w:color w:val="11666E"/>
            <w:u w:val="single"/>
          </w:rPr>
          <w:t>Source page</w:t>
        </w:r>
      </w:hyperlink>
    </w:p>
    <w:p>
      <w:pPr>
        <w:pStyle w:val="SmallNote"/>
      </w:pPr>
      <w:r>
        <w:rPr>
          <w:b/>
        </w:rPr>
        <w:t xml:space="preserve">[S7] Netherlands NCSC, PHP2Shell operational repository (public).  </w:t>
      </w:r>
      <w:hyperlink r:id="rId16">
        <w:r>
          <w:rPr>
            <w:color w:val="11666E"/>
            <w:u w:val="single"/>
          </w:rPr>
          <w:t>Source page</w:t>
        </w:r>
      </w:hyperlink>
    </w:p>
    <w:p>
      <w:pPr>
        <w:pStyle w:val="SmallNote"/>
      </w:pPr>
      <w:r>
        <w:rPr>
          <w:b/>
        </w:rPr>
        <w:t xml:space="preserve">[S8] Armis, PHP2Shell: How to Find, Prioritize, and Patch Affected Systems.  </w:t>
      </w:r>
      <w:hyperlink r:id="rId17">
        <w:r>
          <w:rPr>
            <w:color w:val="11666E"/>
            <w:u w:val="single"/>
          </w:rPr>
          <w:t>Source page</w:t>
        </w:r>
      </w:hyperlink>
    </w:p>
    <w:p>
      <w:pPr>
        <w:pStyle w:val="SmallNote"/>
      </w:pPr>
      <w:r>
        <w:rPr>
          <w:b/>
        </w:rPr>
        <w:t xml:space="preserve">[S9] CERT-EU, Security Advisory 2026-018.  </w:t>
      </w:r>
      <w:hyperlink r:id="rId18">
        <w:r>
          <w:rPr>
            <w:color w:val="11666E"/>
            <w:u w:val="single"/>
          </w:rPr>
          <w:t>Source page</w:t>
        </w:r>
      </w:hyperlink>
    </w:p>
    <w:p>
      <w:pPr>
        <w:pStyle w:val="SmallNote"/>
      </w:pPr>
      <w:r>
        <w:rPr>
          <w:b/>
        </w:rPr>
        <w:t xml:space="preserve">[S10] PHP Supported Versions.  </w:t>
      </w:r>
      <w:hyperlink r:id="rId19">
        <w:r>
          <w:rPr>
            <w:color w:val="11666E"/>
            <w:u w:val="single"/>
          </w:rPr>
          <w:t>Source page</w:t>
        </w:r>
      </w:hyperlink>
    </w:p>
    <w:p>
      <w:pPr>
        <w:pStyle w:val="SmallNote"/>
      </w:pPr>
      <w:r>
        <w:rPr>
          <w:b/>
        </w:rPr>
        <w:t xml:space="preserve">[S11] CloudLinux, PHP CVEs and Imunify360 interim rule guidance.  </w:t>
      </w:r>
      <w:hyperlink r:id="rId20">
        <w:r>
          <w:rPr>
            <w:color w:val="11666E"/>
            <w:u w:val="single"/>
          </w:rPr>
          <w:t>Source page</w:t>
        </w:r>
      </w:hyperlink>
    </w:p>
    <w:sectPr w:rsidR="00FC693F" w:rsidRPr="0006063C" w:rsidSect="00034616">
      <w:footerReference w:type="default" r:id="rId9"/>
      <w:pgSz w:w="12240" w:h="15840"/>
      <w:pgMar w:top="1051" w:right="1195" w:bottom="979" w:left="1195" w:header="518"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05B64"/>
        <w:sz w:val="15"/>
      </w:rPr>
      <w:t>PHP2Shell MSP Playbook  |  v1.0  |  21 Oct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8" w:line="271" w:lineRule="auto"/>
    </w:pPr>
    <w:rPr>
      <w:rFonts w:ascii="Aptos" w:hAnsi="Aptos"/>
      <w:color w:val="242B33"/>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00"/>
      <w:outlineLvl w:val="0"/>
    </w:pPr>
    <w:rPr>
      <w:rFonts w:asciiTheme="majorHAnsi" w:eastAsiaTheme="majorEastAsia" w:hAnsiTheme="majorHAnsi" w:cstheme="majorBidi" w:ascii="Aptos Display" w:hAnsi="Aptos Display"/>
      <w:b/>
      <w:bCs/>
      <w:color w:val="173044"/>
      <w:sz w:val="29"/>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w:hAnsi="Aptos"/>
      <w:b/>
      <w:bCs/>
      <w:color w:val="11666E"/>
      <w:sz w:val="22"/>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ptos" w:hAnsi="Aptos"/>
      <w:b/>
      <w:bCs/>
      <w:color w:val="11666E"/>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before="0"/>
      <w:contextualSpacing/>
    </w:pPr>
    <w:rPr>
      <w:rFonts w:asciiTheme="majorHAnsi" w:eastAsiaTheme="majorEastAsia" w:hAnsiTheme="majorHAnsi" w:cstheme="majorBidi" w:ascii="Aptos Display" w:hAnsi="Aptos Display"/>
      <w:b/>
      <w:color w:val="173044"/>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70"/>
      <w:contextualSpacing/>
    </w:pPr>
    <w:rPr>
      <w:rFonts w:ascii="Aptos" w:hAnsi="Aptos"/>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70"/>
      <w:contextualSpacing/>
    </w:pPr>
    <w:rPr>
      <w:rFonts w:ascii="Aptos" w:hAnsi="Aptos"/>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100"/>
    </w:pPr>
    <w:rPr>
      <w:rFonts w:ascii="Aptos" w:hAnsi="Aptos"/>
      <w:color w:val="505B64"/>
      <w:sz w:val="17"/>
    </w:rPr>
  </w:style>
  <w:style w:type="paragraph" w:customStyle="1" w:styleId="CodeLine">
    <w:name w:val="Code Line"/>
    <w:pPr>
      <w:spacing w:after="0" w:line="254" w:lineRule="auto"/>
      <w:ind w:left="187"/>
    </w:pPr>
    <w:rPr>
      <w:rFonts w:ascii="Consolas" w:hAnsi="Consolas"/>
      <w:color w:val="173044"/>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php.net/archive/2026.php#2026-10-21-5" TargetMode="External"/><Relationship Id="rId11" Type="http://schemas.openxmlformats.org/officeDocument/2006/relationships/hyperlink" Target="https://github.com/php/php-src/security/advisories/GHSA-w8hw-w9fx-j79w" TargetMode="External"/><Relationship Id="rId12" Type="http://schemas.openxmlformats.org/officeDocument/2006/relationships/hyperlink" Target="https://github.com/php/php-src/security/advisories/GHSA-6wmf-4rv5-p3rp" TargetMode="External"/><Relationship Id="rId13" Type="http://schemas.openxmlformats.org/officeDocument/2006/relationships/hyperlink" Target="https://support.cpanel.net/hc/en-us/articles/44397389677335-Critical-PHP-Security-Release-CVE-2026-109618-and-CVE-2026-109619" TargetMode="External"/><Relationship Id="rId14" Type="http://schemas.openxmlformats.org/officeDocument/2006/relationships/hyperlink" Target="https://support.plesk.com/hc/en-us/articles/44397729587351-Vulnerability-CVE-2026-109618-and-CVE-2026-109619-Remote-code-execution-in-PHP-shipped-with-Plesk" TargetMode="External"/><Relationship Id="rId15" Type="http://schemas.openxmlformats.org/officeDocument/2006/relationships/hyperlink" Target="https://blog.cloudflare.com/php-vulnerabilities-waf-protection" TargetMode="External"/><Relationship Id="rId16" Type="http://schemas.openxmlformats.org/officeDocument/2006/relationships/hyperlink" Target="https://github.com/NCSC-NL/php2shell" TargetMode="External"/><Relationship Id="rId17" Type="http://schemas.openxmlformats.org/officeDocument/2006/relationships/hyperlink" Target="https://www.armis.com/blog/php2shell-how-to-find-prioritize-and-patch-affected-systems/" TargetMode="External"/><Relationship Id="rId18" Type="http://schemas.openxmlformats.org/officeDocument/2006/relationships/hyperlink" Target="https://cert.europa.eu/publications/security-advisories/2026-018" TargetMode="External"/><Relationship Id="rId19" Type="http://schemas.openxmlformats.org/officeDocument/2006/relationships/hyperlink" Target="https://www.php.net/supported-versions.php" TargetMode="External"/><Relationship Id="rId20" Type="http://schemas.openxmlformats.org/officeDocument/2006/relationships/hyperlink" Target="https://blog.cloudlinux.com/php-cve-2026-109618-and-cve-2026-1096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PHP2Shell MSP Emergency Response Playbook v1.0</dc:title>
  <dc:subject>Free vendor-neutral PHP2Shell vulnerability response operations guide for MSPs</dc:subject>
  <dc:creator/>
  <cp:keywords>PHP2Shell,CVE-2026-109618,CVE-2026-109619,MSP,incident response</cp:keywords>
  <dc:description>generated by python-docx</dc:description>
  <cp:lastModifiedBy/>
  <cp:revision>1</cp:revision>
  <dcterms:created xsi:type="dcterms:W3CDTF">2013-12-23T23:15:00Z</dcterms:created>
  <dcterms:modified xsi:type="dcterms:W3CDTF">2013-12-23T23:15:00Z</dcterms:modified>
  <cp:category/>
</cp:coreProperties>
</file>